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66BD" w14:textId="351236F2" w:rsidR="007F1F19" w:rsidRDefault="0010007A" w:rsidP="00F528E6">
      <w:pPr>
        <w:pStyle w:val="Heading4"/>
      </w:pPr>
      <w:bookmarkStart w:id="0" w:name="_GoBack"/>
      <w:bookmarkEnd w:id="0"/>
      <w:r>
        <w:t>Texas Law Review (2015)</w:t>
      </w:r>
    </w:p>
    <w:p w14:paraId="4DBA5759" w14:textId="77777777" w:rsidR="00746497" w:rsidRPr="00DD1543" w:rsidRDefault="00746497">
      <w:pPr>
        <w:jc w:val="center"/>
        <w:rPr>
          <w:rFonts w:hAnsi="Times New Roman" w:cs="Times New Roman"/>
          <w:caps/>
          <w:color w:val="auto"/>
        </w:rPr>
      </w:pPr>
    </w:p>
    <w:p w14:paraId="00B5C063" w14:textId="77777777" w:rsidR="007F1F19" w:rsidRPr="00DD1543" w:rsidRDefault="007F1F19">
      <w:pPr>
        <w:rPr>
          <w:rFonts w:hAnsi="Times New Roman" w:cs="Times New Roman"/>
          <w:caps/>
          <w:color w:val="auto"/>
        </w:rPr>
      </w:pPr>
    </w:p>
    <w:p w14:paraId="57A23B47" w14:textId="77777777" w:rsidR="007F1F19" w:rsidRPr="00DD1543" w:rsidRDefault="007F1F19">
      <w:pPr>
        <w:jc w:val="center"/>
        <w:rPr>
          <w:rFonts w:hAnsi="Times New Roman" w:cs="Times New Roman"/>
          <w:caps/>
          <w:color w:val="auto"/>
        </w:rPr>
      </w:pPr>
    </w:p>
    <w:p w14:paraId="05C8FE2C" w14:textId="77777777" w:rsidR="007F1F19" w:rsidRPr="00DD1543" w:rsidRDefault="002318AA">
      <w:pPr>
        <w:jc w:val="center"/>
        <w:rPr>
          <w:rFonts w:hAnsi="Times New Roman" w:cs="Times New Roman"/>
          <w:caps/>
          <w:color w:val="auto"/>
        </w:rPr>
      </w:pPr>
      <w:r w:rsidRPr="00DD1543">
        <w:rPr>
          <w:rFonts w:hAnsi="Times New Roman" w:cs="Times New Roman"/>
          <w:caps/>
          <w:color w:val="auto"/>
        </w:rPr>
        <w:t>The New Cognitive Property:</w:t>
      </w:r>
    </w:p>
    <w:p w14:paraId="0ACB81BB" w14:textId="77777777" w:rsidR="007F1F19" w:rsidRPr="00DD1543" w:rsidRDefault="007F1F19">
      <w:pPr>
        <w:jc w:val="center"/>
        <w:rPr>
          <w:rFonts w:hAnsi="Times New Roman" w:cs="Times New Roman"/>
          <w:caps/>
          <w:color w:val="auto"/>
        </w:rPr>
      </w:pPr>
    </w:p>
    <w:p w14:paraId="3C3C88B3" w14:textId="77777777" w:rsidR="007F1F19" w:rsidRPr="00DD1543" w:rsidRDefault="002318AA" w:rsidP="0003477F">
      <w:pPr>
        <w:jc w:val="center"/>
        <w:rPr>
          <w:rFonts w:hAnsi="Times New Roman" w:cs="Times New Roman"/>
          <w:caps/>
          <w:color w:val="auto"/>
        </w:rPr>
      </w:pPr>
      <w:r w:rsidRPr="00DD1543">
        <w:rPr>
          <w:rFonts w:hAnsi="Times New Roman" w:cs="Times New Roman"/>
          <w:caps/>
          <w:color w:val="auto"/>
        </w:rPr>
        <w:t>Human Capital</w:t>
      </w:r>
      <w:r w:rsidR="0003477F">
        <w:rPr>
          <w:rFonts w:hAnsi="Times New Roman" w:cs="Times New Roman"/>
          <w:caps/>
          <w:color w:val="auto"/>
        </w:rPr>
        <w:t xml:space="preserve"> Law</w:t>
      </w:r>
      <w:r w:rsidRPr="00DD1543">
        <w:rPr>
          <w:rFonts w:hAnsi="Times New Roman" w:cs="Times New Roman"/>
          <w:caps/>
          <w:color w:val="auto"/>
        </w:rPr>
        <w:t xml:space="preserve"> and the Reach of Intellectual Property</w:t>
      </w:r>
    </w:p>
    <w:p w14:paraId="7955037B" w14:textId="77777777" w:rsidR="007F1F19" w:rsidRPr="00DD1543" w:rsidRDefault="007F1F19">
      <w:pPr>
        <w:jc w:val="center"/>
        <w:rPr>
          <w:rFonts w:hAnsi="Times New Roman" w:cs="Times New Roman"/>
          <w:caps/>
          <w:color w:val="auto"/>
        </w:rPr>
      </w:pPr>
    </w:p>
    <w:p w14:paraId="4D737853" w14:textId="77777777" w:rsidR="007F1F19" w:rsidRPr="00DD1543" w:rsidRDefault="002318AA">
      <w:pPr>
        <w:pStyle w:val="YourName"/>
        <w:rPr>
          <w:rFonts w:hAnsi="Times New Roman" w:cs="Times New Roman"/>
          <w:i w:val="0"/>
          <w:iCs w:val="0"/>
          <w:color w:val="auto"/>
          <w:sz w:val="24"/>
          <w:szCs w:val="24"/>
        </w:rPr>
      </w:pPr>
      <w:r w:rsidRPr="00DD1543">
        <w:rPr>
          <w:rFonts w:hAnsi="Times New Roman" w:cs="Times New Roman"/>
          <w:color w:val="auto"/>
          <w:sz w:val="24"/>
          <w:szCs w:val="24"/>
        </w:rPr>
        <w:t>Orly Lobel</w:t>
      </w:r>
      <w:r w:rsidRPr="00DD1543">
        <w:rPr>
          <w:rFonts w:eastAsia="Times New Roman" w:hAnsi="Times New Roman" w:cs="Times New Roman"/>
          <w:color w:val="auto"/>
          <w:sz w:val="24"/>
          <w:szCs w:val="24"/>
          <w:vertAlign w:val="superscript"/>
        </w:rPr>
        <w:footnoteReference w:customMarkFollows="1" w:id="2"/>
        <w:t>*</w:t>
      </w:r>
    </w:p>
    <w:p w14:paraId="61DBDEB1" w14:textId="77777777" w:rsidR="007F1F19" w:rsidRPr="00DD1543" w:rsidRDefault="007F1F19">
      <w:pPr>
        <w:jc w:val="center"/>
        <w:rPr>
          <w:rFonts w:hAnsi="Times New Roman" w:cs="Times New Roman"/>
          <w:color w:val="auto"/>
        </w:rPr>
      </w:pPr>
    </w:p>
    <w:p w14:paraId="4AFB24A3" w14:textId="77777777" w:rsidR="007F1F19" w:rsidRPr="00DD1543" w:rsidRDefault="007F1F19">
      <w:pPr>
        <w:rPr>
          <w:rFonts w:hAnsi="Times New Roman" w:cs="Times New Roman"/>
          <w:color w:val="auto"/>
        </w:rPr>
      </w:pPr>
    </w:p>
    <w:p w14:paraId="1FB9501E" w14:textId="77777777" w:rsidR="007F1F19" w:rsidRPr="00DD1543" w:rsidRDefault="007F1F19">
      <w:pPr>
        <w:rPr>
          <w:rFonts w:eastAsia="Times New Roman Bold" w:hAnsi="Times New Roman" w:cs="Times New Roman"/>
          <w:color w:val="auto"/>
        </w:rPr>
      </w:pPr>
    </w:p>
    <w:p w14:paraId="3F235C8F" w14:textId="77777777" w:rsidR="005E4452" w:rsidRDefault="00FD08B6">
      <w:pPr>
        <w:pStyle w:val="TOC1"/>
        <w:rPr>
          <w:rFonts w:asciiTheme="minorHAnsi" w:eastAsiaTheme="minorEastAsia" w:hAnsiTheme="minorHAnsi" w:cstheme="minorBidi"/>
          <w:noProof/>
          <w:color w:val="auto"/>
          <w:sz w:val="22"/>
          <w:szCs w:val="22"/>
          <w:bdr w:val="none" w:sz="0" w:space="0" w:color="auto"/>
          <w:lang w:bidi="he-IL"/>
        </w:rPr>
      </w:pPr>
      <w:r w:rsidRPr="00DD1543">
        <w:rPr>
          <w:rFonts w:eastAsia="Times New Roman Bold"/>
          <w:color w:val="auto"/>
        </w:rPr>
        <w:fldChar w:fldCharType="begin"/>
      </w:r>
      <w:r w:rsidR="002318AA" w:rsidRPr="00DD1543">
        <w:rPr>
          <w:rFonts w:eastAsia="Times New Roman Bold"/>
          <w:color w:val="auto"/>
        </w:rPr>
        <w:instrText xml:space="preserve"> TOC \o 1-3 </w:instrText>
      </w:r>
      <w:r w:rsidRPr="00DD1543">
        <w:rPr>
          <w:rFonts w:eastAsia="Times New Roman Bold"/>
          <w:color w:val="auto"/>
        </w:rPr>
        <w:fldChar w:fldCharType="separate"/>
      </w:r>
      <w:r w:rsidR="005E4452" w:rsidRPr="0036233B">
        <w:rPr>
          <w:noProof/>
          <w:color w:val="auto"/>
        </w:rPr>
        <w:t>Introduction</w:t>
      </w:r>
      <w:r w:rsidR="005E4452">
        <w:rPr>
          <w:noProof/>
        </w:rPr>
        <w:tab/>
      </w:r>
      <w:r w:rsidR="005E4452">
        <w:rPr>
          <w:noProof/>
        </w:rPr>
        <w:fldChar w:fldCharType="begin"/>
      </w:r>
      <w:r w:rsidR="005E4452">
        <w:rPr>
          <w:noProof/>
        </w:rPr>
        <w:instrText xml:space="preserve"> PAGEREF _Toc399167383 \h </w:instrText>
      </w:r>
      <w:r w:rsidR="005E4452">
        <w:rPr>
          <w:noProof/>
        </w:rPr>
      </w:r>
      <w:r w:rsidR="005E4452">
        <w:rPr>
          <w:noProof/>
        </w:rPr>
        <w:fldChar w:fldCharType="separate"/>
      </w:r>
      <w:r w:rsidR="0039144E">
        <w:rPr>
          <w:noProof/>
        </w:rPr>
        <w:t>2</w:t>
      </w:r>
      <w:r w:rsidR="005E4452">
        <w:rPr>
          <w:noProof/>
        </w:rPr>
        <w:fldChar w:fldCharType="end"/>
      </w:r>
    </w:p>
    <w:p w14:paraId="4AA29FB5" w14:textId="77777777" w:rsidR="005E4452" w:rsidRDefault="005E4452">
      <w:pPr>
        <w:pStyle w:val="TOC1"/>
        <w:rPr>
          <w:rFonts w:asciiTheme="minorHAnsi" w:eastAsiaTheme="minorEastAsia" w:hAnsiTheme="minorHAnsi" w:cstheme="minorBidi"/>
          <w:noProof/>
          <w:color w:val="auto"/>
          <w:sz w:val="22"/>
          <w:szCs w:val="22"/>
          <w:bdr w:val="none" w:sz="0" w:space="0" w:color="auto"/>
          <w:lang w:bidi="he-IL"/>
        </w:rPr>
      </w:pPr>
      <w:r w:rsidRPr="0036233B">
        <w:rPr>
          <w:noProof/>
          <w:color w:val="auto"/>
        </w:rPr>
        <w:t>I. Erecting Cognitive Fences: From Outputs to Inputs</w:t>
      </w:r>
      <w:r>
        <w:rPr>
          <w:noProof/>
        </w:rPr>
        <w:tab/>
      </w:r>
      <w:r>
        <w:rPr>
          <w:noProof/>
        </w:rPr>
        <w:fldChar w:fldCharType="begin"/>
      </w:r>
      <w:r>
        <w:rPr>
          <w:noProof/>
        </w:rPr>
        <w:instrText xml:space="preserve"> PAGEREF _Toc399167384 \h </w:instrText>
      </w:r>
      <w:r>
        <w:rPr>
          <w:noProof/>
        </w:rPr>
      </w:r>
      <w:r>
        <w:rPr>
          <w:noProof/>
        </w:rPr>
        <w:fldChar w:fldCharType="separate"/>
      </w:r>
      <w:r w:rsidR="0039144E">
        <w:rPr>
          <w:noProof/>
        </w:rPr>
        <w:t>6</w:t>
      </w:r>
      <w:r>
        <w:rPr>
          <w:noProof/>
        </w:rPr>
        <w:fldChar w:fldCharType="end"/>
      </w:r>
    </w:p>
    <w:p w14:paraId="5BD5C0B6"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rFonts w:eastAsia="Times New Roman Bold"/>
          <w:noProof/>
        </w:rPr>
        <w:t>A.</w:t>
      </w:r>
      <w:r>
        <w:rPr>
          <w:rFonts w:asciiTheme="minorHAnsi" w:eastAsiaTheme="minorEastAsia" w:hAnsiTheme="minorHAnsi" w:cstheme="minorBidi"/>
          <w:noProof/>
          <w:color w:val="auto"/>
          <w:sz w:val="22"/>
          <w:szCs w:val="22"/>
          <w:bdr w:val="none" w:sz="0" w:space="0" w:color="auto"/>
          <w:lang w:bidi="he-IL"/>
        </w:rPr>
        <w:tab/>
      </w:r>
      <w:r w:rsidRPr="0036233B">
        <w:rPr>
          <w:rFonts w:eastAsia="Times New Roman Bold"/>
          <w:noProof/>
        </w:rPr>
        <w:t>Human Capital Law and the Knowledge Economy</w:t>
      </w:r>
      <w:r>
        <w:rPr>
          <w:noProof/>
        </w:rPr>
        <w:tab/>
      </w:r>
      <w:r>
        <w:rPr>
          <w:noProof/>
        </w:rPr>
        <w:fldChar w:fldCharType="begin"/>
      </w:r>
      <w:r>
        <w:rPr>
          <w:noProof/>
        </w:rPr>
        <w:instrText xml:space="preserve"> PAGEREF _Toc399167385 \h </w:instrText>
      </w:r>
      <w:r>
        <w:rPr>
          <w:noProof/>
        </w:rPr>
      </w:r>
      <w:r>
        <w:rPr>
          <w:noProof/>
        </w:rPr>
        <w:fldChar w:fldCharType="separate"/>
      </w:r>
      <w:r w:rsidR="0039144E">
        <w:rPr>
          <w:noProof/>
        </w:rPr>
        <w:t>6</w:t>
      </w:r>
      <w:r>
        <w:rPr>
          <w:noProof/>
        </w:rPr>
        <w:fldChar w:fldCharType="end"/>
      </w:r>
    </w:p>
    <w:p w14:paraId="324EFDC7"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rFonts w:eastAsia="Times New Roman Bold"/>
          <w:noProof/>
        </w:rPr>
        <w:t>B.</w:t>
      </w:r>
      <w:r>
        <w:rPr>
          <w:rFonts w:asciiTheme="minorHAnsi" w:eastAsiaTheme="minorEastAsia" w:hAnsiTheme="minorHAnsi" w:cstheme="minorBidi"/>
          <w:noProof/>
          <w:color w:val="auto"/>
          <w:sz w:val="22"/>
          <w:szCs w:val="22"/>
          <w:bdr w:val="none" w:sz="0" w:space="0" w:color="auto"/>
          <w:lang w:bidi="he-IL"/>
        </w:rPr>
        <w:tab/>
      </w:r>
      <w:r w:rsidRPr="0036233B">
        <w:rPr>
          <w:rFonts w:eastAsia="Times New Roman Bold"/>
          <w:noProof/>
        </w:rPr>
        <w:t>The Intangible Spectrum</w:t>
      </w:r>
      <w:r>
        <w:rPr>
          <w:noProof/>
        </w:rPr>
        <w:tab/>
      </w:r>
      <w:r>
        <w:rPr>
          <w:noProof/>
        </w:rPr>
        <w:fldChar w:fldCharType="begin"/>
      </w:r>
      <w:r>
        <w:rPr>
          <w:noProof/>
        </w:rPr>
        <w:instrText xml:space="preserve"> PAGEREF _Toc399167386 \h </w:instrText>
      </w:r>
      <w:r>
        <w:rPr>
          <w:noProof/>
        </w:rPr>
      </w:r>
      <w:r>
        <w:rPr>
          <w:noProof/>
        </w:rPr>
        <w:fldChar w:fldCharType="separate"/>
      </w:r>
      <w:r w:rsidR="0039144E">
        <w:rPr>
          <w:noProof/>
        </w:rPr>
        <w:t>10</w:t>
      </w:r>
      <w:r>
        <w:rPr>
          <w:noProof/>
        </w:rPr>
        <w:fldChar w:fldCharType="end"/>
      </w:r>
    </w:p>
    <w:p w14:paraId="1B6A9835"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1.</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 xml:space="preserve">Evan Brown’s Abstract Solution: </w:t>
      </w:r>
      <w:r>
        <w:rPr>
          <w:noProof/>
        </w:rPr>
        <w:t>“</w:t>
      </w:r>
      <w:r w:rsidRPr="0036233B">
        <w:rPr>
          <w:i/>
          <w:iCs/>
          <w:noProof/>
        </w:rPr>
        <w:t>Whether Patentable or Non-Patentable</w:t>
      </w:r>
      <w:r>
        <w:rPr>
          <w:noProof/>
        </w:rPr>
        <w:t>”</w:t>
      </w:r>
      <w:r>
        <w:rPr>
          <w:noProof/>
        </w:rPr>
        <w:tab/>
      </w:r>
      <w:r>
        <w:rPr>
          <w:noProof/>
        </w:rPr>
        <w:fldChar w:fldCharType="begin"/>
      </w:r>
      <w:r>
        <w:rPr>
          <w:noProof/>
        </w:rPr>
        <w:instrText xml:space="preserve"> PAGEREF _Toc399167387 \h </w:instrText>
      </w:r>
      <w:r>
        <w:rPr>
          <w:noProof/>
        </w:rPr>
      </w:r>
      <w:r>
        <w:rPr>
          <w:noProof/>
        </w:rPr>
        <w:fldChar w:fldCharType="separate"/>
      </w:r>
      <w:r w:rsidR="0039144E">
        <w:rPr>
          <w:noProof/>
        </w:rPr>
        <w:t>10</w:t>
      </w:r>
      <w:r>
        <w:rPr>
          <w:noProof/>
        </w:rPr>
        <w:fldChar w:fldCharType="end"/>
      </w:r>
    </w:p>
    <w:p w14:paraId="635DE5B8"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2.</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 xml:space="preserve">Carter Bryant’s Concept: </w:t>
      </w:r>
      <w:r w:rsidRPr="0036233B">
        <w:rPr>
          <w:i/>
          <w:iCs/>
          <w:noProof/>
          <w:color w:val="auto"/>
        </w:rPr>
        <w:t xml:space="preserve">“Whether </w:t>
      </w:r>
      <w:r w:rsidRPr="0036233B">
        <w:rPr>
          <w:i/>
          <w:iCs/>
          <w:noProof/>
        </w:rPr>
        <w:t>Copyrightable or Non-Copyrightable”</w:t>
      </w:r>
      <w:r>
        <w:rPr>
          <w:noProof/>
        </w:rPr>
        <w:tab/>
      </w:r>
      <w:r>
        <w:rPr>
          <w:noProof/>
        </w:rPr>
        <w:fldChar w:fldCharType="begin"/>
      </w:r>
      <w:r>
        <w:rPr>
          <w:noProof/>
        </w:rPr>
        <w:instrText xml:space="preserve"> PAGEREF _Toc399167388 \h </w:instrText>
      </w:r>
      <w:r>
        <w:rPr>
          <w:noProof/>
        </w:rPr>
      </w:r>
      <w:r>
        <w:rPr>
          <w:noProof/>
        </w:rPr>
        <w:fldChar w:fldCharType="separate"/>
      </w:r>
      <w:r w:rsidR="0039144E">
        <w:rPr>
          <w:noProof/>
        </w:rPr>
        <w:t>13</w:t>
      </w:r>
      <w:r>
        <w:rPr>
          <w:noProof/>
        </w:rPr>
        <w:fldChar w:fldCharType="end"/>
      </w:r>
    </w:p>
    <w:p w14:paraId="2442B417"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3.</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Sergey Aleynikov’s Crime: Secrecy Hysteria as a Control Device</w:t>
      </w:r>
      <w:r>
        <w:rPr>
          <w:noProof/>
        </w:rPr>
        <w:tab/>
      </w:r>
      <w:r>
        <w:rPr>
          <w:noProof/>
        </w:rPr>
        <w:fldChar w:fldCharType="begin"/>
      </w:r>
      <w:r>
        <w:rPr>
          <w:noProof/>
        </w:rPr>
        <w:instrText xml:space="preserve"> PAGEREF _Toc399167389 \h </w:instrText>
      </w:r>
      <w:r>
        <w:rPr>
          <w:noProof/>
        </w:rPr>
      </w:r>
      <w:r>
        <w:rPr>
          <w:noProof/>
        </w:rPr>
        <w:fldChar w:fldCharType="separate"/>
      </w:r>
      <w:r w:rsidR="0039144E">
        <w:rPr>
          <w:noProof/>
        </w:rPr>
        <w:t>16</w:t>
      </w:r>
      <w:r>
        <w:rPr>
          <w:noProof/>
        </w:rPr>
        <w:fldChar w:fldCharType="end"/>
      </w:r>
    </w:p>
    <w:p w14:paraId="2E038D94"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noProof/>
          <w:color w:val="auto"/>
        </w:rPr>
        <w:t>C.</w:t>
      </w:r>
      <w:r>
        <w:rPr>
          <w:rFonts w:asciiTheme="minorHAnsi" w:eastAsiaTheme="minorEastAsia" w:hAnsiTheme="minorHAnsi" w:cstheme="minorBidi"/>
          <w:noProof/>
          <w:color w:val="auto"/>
          <w:sz w:val="22"/>
          <w:szCs w:val="22"/>
          <w:bdr w:val="none" w:sz="0" w:space="0" w:color="auto"/>
          <w:lang w:bidi="he-IL"/>
        </w:rPr>
        <w:tab/>
      </w:r>
      <w:r w:rsidRPr="0036233B">
        <w:rPr>
          <w:rFonts w:eastAsia="Times New Roman Bold"/>
          <w:noProof/>
        </w:rPr>
        <w:t>The Timeline: Back to the Future</w:t>
      </w:r>
      <w:r>
        <w:rPr>
          <w:noProof/>
        </w:rPr>
        <w:tab/>
      </w:r>
      <w:r>
        <w:rPr>
          <w:noProof/>
        </w:rPr>
        <w:fldChar w:fldCharType="begin"/>
      </w:r>
      <w:r>
        <w:rPr>
          <w:noProof/>
        </w:rPr>
        <w:instrText xml:space="preserve"> PAGEREF _Toc399167390 \h </w:instrText>
      </w:r>
      <w:r>
        <w:rPr>
          <w:noProof/>
        </w:rPr>
      </w:r>
      <w:r>
        <w:rPr>
          <w:noProof/>
        </w:rPr>
        <w:fldChar w:fldCharType="separate"/>
      </w:r>
      <w:r w:rsidR="0039144E">
        <w:rPr>
          <w:noProof/>
        </w:rPr>
        <w:t>25</w:t>
      </w:r>
      <w:r>
        <w:rPr>
          <w:noProof/>
        </w:rPr>
        <w:fldChar w:fldCharType="end"/>
      </w:r>
    </w:p>
    <w:p w14:paraId="595B3B95"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1.</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Before: Pre-Innovation Assignments</w:t>
      </w:r>
      <w:r>
        <w:rPr>
          <w:noProof/>
        </w:rPr>
        <w:tab/>
      </w:r>
      <w:r>
        <w:rPr>
          <w:noProof/>
        </w:rPr>
        <w:fldChar w:fldCharType="begin"/>
      </w:r>
      <w:r>
        <w:rPr>
          <w:noProof/>
        </w:rPr>
        <w:instrText xml:space="preserve"> PAGEREF _Toc399167391 \h </w:instrText>
      </w:r>
      <w:r>
        <w:rPr>
          <w:noProof/>
        </w:rPr>
      </w:r>
      <w:r>
        <w:rPr>
          <w:noProof/>
        </w:rPr>
        <w:fldChar w:fldCharType="separate"/>
      </w:r>
      <w:r w:rsidR="0039144E">
        <w:rPr>
          <w:noProof/>
        </w:rPr>
        <w:t>25</w:t>
      </w:r>
      <w:r>
        <w:rPr>
          <w:noProof/>
        </w:rPr>
        <w:fldChar w:fldCharType="end"/>
      </w:r>
    </w:p>
    <w:p w14:paraId="1C09B4A6"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2.</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After: Trailer Clauses and the Assignor Estoppel Doctrine</w:t>
      </w:r>
      <w:r>
        <w:rPr>
          <w:noProof/>
        </w:rPr>
        <w:tab/>
      </w:r>
      <w:r>
        <w:rPr>
          <w:noProof/>
        </w:rPr>
        <w:fldChar w:fldCharType="begin"/>
      </w:r>
      <w:r>
        <w:rPr>
          <w:noProof/>
        </w:rPr>
        <w:instrText xml:space="preserve"> PAGEREF _Toc399167392 \h </w:instrText>
      </w:r>
      <w:r>
        <w:rPr>
          <w:noProof/>
        </w:rPr>
      </w:r>
      <w:r>
        <w:rPr>
          <w:noProof/>
        </w:rPr>
        <w:fldChar w:fldCharType="separate"/>
      </w:r>
      <w:r w:rsidR="0039144E">
        <w:rPr>
          <w:noProof/>
        </w:rPr>
        <w:t>30</w:t>
      </w:r>
      <w:r>
        <w:rPr>
          <w:noProof/>
        </w:rPr>
        <w:fldChar w:fldCharType="end"/>
      </w:r>
    </w:p>
    <w:p w14:paraId="3B63FEE6"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3.</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And Everything in Between: Weekends and Nights</w:t>
      </w:r>
      <w:r>
        <w:rPr>
          <w:noProof/>
        </w:rPr>
        <w:tab/>
      </w:r>
      <w:r>
        <w:rPr>
          <w:noProof/>
        </w:rPr>
        <w:fldChar w:fldCharType="begin"/>
      </w:r>
      <w:r>
        <w:rPr>
          <w:noProof/>
        </w:rPr>
        <w:instrText xml:space="preserve"> PAGEREF _Toc399167393 \h </w:instrText>
      </w:r>
      <w:r>
        <w:rPr>
          <w:noProof/>
        </w:rPr>
      </w:r>
      <w:r>
        <w:rPr>
          <w:noProof/>
        </w:rPr>
        <w:fldChar w:fldCharType="separate"/>
      </w:r>
      <w:r w:rsidR="0039144E">
        <w:rPr>
          <w:noProof/>
        </w:rPr>
        <w:t>34</w:t>
      </w:r>
      <w:r>
        <w:rPr>
          <w:noProof/>
        </w:rPr>
        <w:fldChar w:fldCharType="end"/>
      </w:r>
    </w:p>
    <w:p w14:paraId="0636990C"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rFonts w:eastAsia="Times New Roman Bold"/>
          <w:noProof/>
        </w:rPr>
        <w:t>D.</w:t>
      </w:r>
      <w:r>
        <w:rPr>
          <w:rFonts w:asciiTheme="minorHAnsi" w:eastAsiaTheme="minorEastAsia" w:hAnsiTheme="minorHAnsi" w:cstheme="minorBidi"/>
          <w:noProof/>
          <w:color w:val="auto"/>
          <w:sz w:val="22"/>
          <w:szCs w:val="22"/>
          <w:bdr w:val="none" w:sz="0" w:space="0" w:color="auto"/>
          <w:lang w:bidi="he-IL"/>
        </w:rPr>
        <w:tab/>
      </w:r>
      <w:r w:rsidRPr="0036233B">
        <w:rPr>
          <w:rFonts w:eastAsia="Times New Roman Bold"/>
          <w:noProof/>
        </w:rPr>
        <w:t>The Partiality/Totality Spectrum: Non-Competes and Non-Competes on Steroids</w:t>
      </w:r>
      <w:r>
        <w:rPr>
          <w:noProof/>
        </w:rPr>
        <w:tab/>
      </w:r>
      <w:r>
        <w:rPr>
          <w:noProof/>
        </w:rPr>
        <w:fldChar w:fldCharType="begin"/>
      </w:r>
      <w:r>
        <w:rPr>
          <w:noProof/>
        </w:rPr>
        <w:instrText xml:space="preserve"> PAGEREF _Toc399167394 \h </w:instrText>
      </w:r>
      <w:r>
        <w:rPr>
          <w:noProof/>
        </w:rPr>
      </w:r>
      <w:r>
        <w:rPr>
          <w:noProof/>
        </w:rPr>
        <w:fldChar w:fldCharType="separate"/>
      </w:r>
      <w:r w:rsidR="0039144E">
        <w:rPr>
          <w:noProof/>
        </w:rPr>
        <w:t>37</w:t>
      </w:r>
      <w:r>
        <w:rPr>
          <w:noProof/>
        </w:rPr>
        <w:fldChar w:fldCharType="end"/>
      </w:r>
    </w:p>
    <w:p w14:paraId="779A0C84"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1.</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The Rise of the Post-Employment Covenant Thicket</w:t>
      </w:r>
      <w:r>
        <w:rPr>
          <w:noProof/>
        </w:rPr>
        <w:tab/>
      </w:r>
      <w:r>
        <w:rPr>
          <w:noProof/>
        </w:rPr>
        <w:fldChar w:fldCharType="begin"/>
      </w:r>
      <w:r>
        <w:rPr>
          <w:noProof/>
        </w:rPr>
        <w:instrText xml:space="preserve"> PAGEREF _Toc399167395 \h </w:instrText>
      </w:r>
      <w:r>
        <w:rPr>
          <w:noProof/>
        </w:rPr>
      </w:r>
      <w:r>
        <w:rPr>
          <w:noProof/>
        </w:rPr>
        <w:fldChar w:fldCharType="separate"/>
      </w:r>
      <w:r w:rsidR="0039144E">
        <w:rPr>
          <w:noProof/>
        </w:rPr>
        <w:t>37</w:t>
      </w:r>
      <w:r>
        <w:rPr>
          <w:noProof/>
        </w:rPr>
        <w:fldChar w:fldCharType="end"/>
      </w:r>
    </w:p>
    <w:p w14:paraId="6BDF15C4"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2.</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Name Game: Non-Solicitation, Non-Dealing, and Non-Poaching</w:t>
      </w:r>
      <w:r>
        <w:rPr>
          <w:noProof/>
        </w:rPr>
        <w:tab/>
      </w:r>
      <w:r>
        <w:rPr>
          <w:noProof/>
        </w:rPr>
        <w:fldChar w:fldCharType="begin"/>
      </w:r>
      <w:r>
        <w:rPr>
          <w:noProof/>
        </w:rPr>
        <w:instrText xml:space="preserve"> PAGEREF _Toc399167396 \h </w:instrText>
      </w:r>
      <w:r>
        <w:rPr>
          <w:noProof/>
        </w:rPr>
      </w:r>
      <w:r>
        <w:rPr>
          <w:noProof/>
        </w:rPr>
        <w:fldChar w:fldCharType="separate"/>
      </w:r>
      <w:r w:rsidR="0039144E">
        <w:rPr>
          <w:noProof/>
        </w:rPr>
        <w:t>40</w:t>
      </w:r>
      <w:r>
        <w:rPr>
          <w:noProof/>
        </w:rPr>
        <w:fldChar w:fldCharType="end"/>
      </w:r>
    </w:p>
    <w:p w14:paraId="6852FD1B" w14:textId="77777777" w:rsidR="005E4452" w:rsidRDefault="005E4452">
      <w:pPr>
        <w:pStyle w:val="TOC3"/>
        <w:rPr>
          <w:rFonts w:asciiTheme="minorHAnsi" w:eastAsiaTheme="minorEastAsia" w:hAnsiTheme="minorHAnsi" w:cstheme="minorBidi"/>
          <w:noProof/>
          <w:color w:val="auto"/>
          <w:sz w:val="22"/>
          <w:szCs w:val="22"/>
          <w:bdr w:val="none" w:sz="0" w:space="0" w:color="auto"/>
          <w:lang w:bidi="he-IL"/>
        </w:rPr>
      </w:pPr>
      <w:r w:rsidRPr="0036233B">
        <w:rPr>
          <w:noProof/>
          <w:color w:val="auto"/>
        </w:rPr>
        <w:t>3.</w:t>
      </w:r>
      <w:r>
        <w:rPr>
          <w:rFonts w:asciiTheme="minorHAnsi" w:eastAsiaTheme="minorEastAsia" w:hAnsiTheme="minorHAnsi" w:cstheme="minorBidi"/>
          <w:noProof/>
          <w:color w:val="auto"/>
          <w:sz w:val="22"/>
          <w:szCs w:val="22"/>
          <w:bdr w:val="none" w:sz="0" w:space="0" w:color="auto"/>
          <w:lang w:bidi="he-IL"/>
        </w:rPr>
        <w:tab/>
      </w:r>
      <w:r w:rsidRPr="0036233B">
        <w:rPr>
          <w:noProof/>
          <w:color w:val="auto"/>
        </w:rPr>
        <w:t>Cognitive Cartels</w:t>
      </w:r>
      <w:r>
        <w:rPr>
          <w:noProof/>
        </w:rPr>
        <w:tab/>
      </w:r>
      <w:r>
        <w:rPr>
          <w:noProof/>
        </w:rPr>
        <w:fldChar w:fldCharType="begin"/>
      </w:r>
      <w:r>
        <w:rPr>
          <w:noProof/>
        </w:rPr>
        <w:instrText xml:space="preserve"> PAGEREF _Toc399167397 \h </w:instrText>
      </w:r>
      <w:r>
        <w:rPr>
          <w:noProof/>
        </w:rPr>
      </w:r>
      <w:r>
        <w:rPr>
          <w:noProof/>
        </w:rPr>
        <w:fldChar w:fldCharType="separate"/>
      </w:r>
      <w:r w:rsidR="0039144E">
        <w:rPr>
          <w:noProof/>
        </w:rPr>
        <w:t>43</w:t>
      </w:r>
      <w:r>
        <w:rPr>
          <w:noProof/>
        </w:rPr>
        <w:fldChar w:fldCharType="end"/>
      </w:r>
    </w:p>
    <w:p w14:paraId="52C4ED38" w14:textId="77777777" w:rsidR="005E4452" w:rsidRDefault="005E4452">
      <w:pPr>
        <w:pStyle w:val="TOC1"/>
        <w:rPr>
          <w:rFonts w:asciiTheme="minorHAnsi" w:eastAsiaTheme="minorEastAsia" w:hAnsiTheme="minorHAnsi" w:cstheme="minorBidi"/>
          <w:noProof/>
          <w:color w:val="auto"/>
          <w:sz w:val="22"/>
          <w:szCs w:val="22"/>
          <w:bdr w:val="none" w:sz="0" w:space="0" w:color="auto"/>
          <w:lang w:bidi="he-IL"/>
        </w:rPr>
      </w:pPr>
      <w:r w:rsidRPr="0036233B">
        <w:rPr>
          <w:noProof/>
          <w:color w:val="auto"/>
        </w:rPr>
        <w:t xml:space="preserve">II. Dimensions of Knowledge: The Detrimental Layered Effects of Cognitive </w:t>
      </w:r>
      <w:r w:rsidRPr="0036233B">
        <w:rPr>
          <w:noProof/>
          <w:color w:val="auto"/>
        </w:rPr>
        <w:lastRenderedPageBreak/>
        <w:t>Property</w:t>
      </w:r>
      <w:r>
        <w:rPr>
          <w:noProof/>
        </w:rPr>
        <w:tab/>
      </w:r>
      <w:r>
        <w:rPr>
          <w:noProof/>
        </w:rPr>
        <w:fldChar w:fldCharType="begin"/>
      </w:r>
      <w:r>
        <w:rPr>
          <w:noProof/>
        </w:rPr>
        <w:instrText xml:space="preserve"> PAGEREF _Toc399167398 \h </w:instrText>
      </w:r>
      <w:r>
        <w:rPr>
          <w:noProof/>
        </w:rPr>
      </w:r>
      <w:r>
        <w:rPr>
          <w:noProof/>
        </w:rPr>
        <w:fldChar w:fldCharType="separate"/>
      </w:r>
      <w:r w:rsidR="0039144E">
        <w:rPr>
          <w:noProof/>
        </w:rPr>
        <w:t>46</w:t>
      </w:r>
      <w:r>
        <w:rPr>
          <w:noProof/>
        </w:rPr>
        <w:fldChar w:fldCharType="end"/>
      </w:r>
    </w:p>
    <w:p w14:paraId="67CD5336"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Pr>
          <w:noProof/>
        </w:rPr>
        <w:t>A. Tacit Knowledge</w:t>
      </w:r>
      <w:r>
        <w:rPr>
          <w:noProof/>
        </w:rPr>
        <w:tab/>
      </w:r>
      <w:r>
        <w:rPr>
          <w:noProof/>
        </w:rPr>
        <w:fldChar w:fldCharType="begin"/>
      </w:r>
      <w:r>
        <w:rPr>
          <w:noProof/>
        </w:rPr>
        <w:instrText xml:space="preserve"> PAGEREF _Toc399167399 \h </w:instrText>
      </w:r>
      <w:r>
        <w:rPr>
          <w:noProof/>
        </w:rPr>
      </w:r>
      <w:r>
        <w:rPr>
          <w:noProof/>
        </w:rPr>
        <w:fldChar w:fldCharType="separate"/>
      </w:r>
      <w:r w:rsidR="0039144E">
        <w:rPr>
          <w:noProof/>
        </w:rPr>
        <w:t>47</w:t>
      </w:r>
      <w:r>
        <w:rPr>
          <w:noProof/>
        </w:rPr>
        <w:fldChar w:fldCharType="end"/>
      </w:r>
    </w:p>
    <w:p w14:paraId="4AFE1E9A"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noProof/>
          <w:color w:val="auto"/>
        </w:rPr>
        <w:t>B. Relational &amp; Networked Knowledge</w:t>
      </w:r>
      <w:r>
        <w:rPr>
          <w:noProof/>
        </w:rPr>
        <w:tab/>
      </w:r>
      <w:r>
        <w:rPr>
          <w:noProof/>
        </w:rPr>
        <w:fldChar w:fldCharType="begin"/>
      </w:r>
      <w:r>
        <w:rPr>
          <w:noProof/>
        </w:rPr>
        <w:instrText xml:space="preserve"> PAGEREF _Toc399167400 \h </w:instrText>
      </w:r>
      <w:r>
        <w:rPr>
          <w:noProof/>
        </w:rPr>
      </w:r>
      <w:r>
        <w:rPr>
          <w:noProof/>
        </w:rPr>
        <w:fldChar w:fldCharType="separate"/>
      </w:r>
      <w:r w:rsidR="0039144E">
        <w:rPr>
          <w:noProof/>
        </w:rPr>
        <w:t>49</w:t>
      </w:r>
      <w:r>
        <w:rPr>
          <w:noProof/>
        </w:rPr>
        <w:fldChar w:fldCharType="end"/>
      </w:r>
    </w:p>
    <w:p w14:paraId="11E8C793"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Pr>
          <w:noProof/>
        </w:rPr>
        <w:t>C. Motivational &amp; Disruptive Knowledge</w:t>
      </w:r>
      <w:r>
        <w:rPr>
          <w:noProof/>
        </w:rPr>
        <w:tab/>
      </w:r>
      <w:r>
        <w:rPr>
          <w:noProof/>
        </w:rPr>
        <w:fldChar w:fldCharType="begin"/>
      </w:r>
      <w:r>
        <w:rPr>
          <w:noProof/>
        </w:rPr>
        <w:instrText xml:space="preserve"> PAGEREF _Toc399167401 \h </w:instrText>
      </w:r>
      <w:r>
        <w:rPr>
          <w:noProof/>
        </w:rPr>
      </w:r>
      <w:r>
        <w:rPr>
          <w:noProof/>
        </w:rPr>
        <w:fldChar w:fldCharType="separate"/>
      </w:r>
      <w:r w:rsidR="0039144E">
        <w:rPr>
          <w:noProof/>
        </w:rPr>
        <w:t>51</w:t>
      </w:r>
      <w:r>
        <w:rPr>
          <w:noProof/>
        </w:rPr>
        <w:fldChar w:fldCharType="end"/>
      </w:r>
    </w:p>
    <w:p w14:paraId="2A3D0CC6" w14:textId="77777777" w:rsidR="005E4452" w:rsidRDefault="005E4452">
      <w:pPr>
        <w:pStyle w:val="TOC1"/>
        <w:rPr>
          <w:rFonts w:asciiTheme="minorHAnsi" w:eastAsiaTheme="minorEastAsia" w:hAnsiTheme="minorHAnsi" w:cstheme="minorBidi"/>
          <w:noProof/>
          <w:color w:val="auto"/>
          <w:sz w:val="22"/>
          <w:szCs w:val="22"/>
          <w:bdr w:val="none" w:sz="0" w:space="0" w:color="auto"/>
          <w:lang w:bidi="he-IL"/>
        </w:rPr>
      </w:pPr>
      <w:r w:rsidRPr="0036233B">
        <w:rPr>
          <w:rFonts w:eastAsia="Arial Unicode MS"/>
          <w:noProof/>
        </w:rPr>
        <w:t>III. The Third Enclosure Movement</w:t>
      </w:r>
      <w:r>
        <w:rPr>
          <w:noProof/>
        </w:rPr>
        <w:tab/>
      </w:r>
      <w:r>
        <w:rPr>
          <w:noProof/>
        </w:rPr>
        <w:fldChar w:fldCharType="begin"/>
      </w:r>
      <w:r>
        <w:rPr>
          <w:noProof/>
        </w:rPr>
        <w:instrText xml:space="preserve"> PAGEREF _Toc399167402 \h </w:instrText>
      </w:r>
      <w:r>
        <w:rPr>
          <w:noProof/>
        </w:rPr>
      </w:r>
      <w:r>
        <w:rPr>
          <w:noProof/>
        </w:rPr>
        <w:fldChar w:fldCharType="separate"/>
      </w:r>
      <w:r w:rsidR="0039144E">
        <w:rPr>
          <w:noProof/>
        </w:rPr>
        <w:t>53</w:t>
      </w:r>
      <w:r>
        <w:rPr>
          <w:noProof/>
        </w:rPr>
        <w:fldChar w:fldCharType="end"/>
      </w:r>
    </w:p>
    <w:p w14:paraId="031FCE84"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rFonts w:eastAsia="Arial Unicode MS" w:hAnsi="Arial Unicode MS" w:cs="Arial Unicode MS"/>
          <w:smallCaps/>
          <w:noProof/>
        </w:rPr>
        <w:t xml:space="preserve">A. </w:t>
      </w:r>
      <w:r w:rsidRPr="0036233B">
        <w:rPr>
          <w:rFonts w:eastAsia="Times New Roman Bold"/>
          <w:noProof/>
        </w:rPr>
        <w:t>From Monopoly to Property</w:t>
      </w:r>
      <w:r>
        <w:rPr>
          <w:noProof/>
        </w:rPr>
        <w:tab/>
      </w:r>
      <w:r>
        <w:rPr>
          <w:noProof/>
        </w:rPr>
        <w:fldChar w:fldCharType="begin"/>
      </w:r>
      <w:r>
        <w:rPr>
          <w:noProof/>
        </w:rPr>
        <w:instrText xml:space="preserve"> PAGEREF _Toc399167403 \h </w:instrText>
      </w:r>
      <w:r>
        <w:rPr>
          <w:noProof/>
        </w:rPr>
      </w:r>
      <w:r>
        <w:rPr>
          <w:noProof/>
        </w:rPr>
        <w:fldChar w:fldCharType="separate"/>
      </w:r>
      <w:r w:rsidR="0039144E">
        <w:rPr>
          <w:noProof/>
        </w:rPr>
        <w:t>53</w:t>
      </w:r>
      <w:r>
        <w:rPr>
          <w:noProof/>
        </w:rPr>
        <w:fldChar w:fldCharType="end"/>
      </w:r>
    </w:p>
    <w:p w14:paraId="76425579"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Pr>
          <w:noProof/>
        </w:rPr>
        <w:t>B. Understanding Harm</w:t>
      </w:r>
      <w:r>
        <w:rPr>
          <w:noProof/>
        </w:rPr>
        <w:tab/>
      </w:r>
      <w:r>
        <w:rPr>
          <w:noProof/>
        </w:rPr>
        <w:fldChar w:fldCharType="begin"/>
      </w:r>
      <w:r>
        <w:rPr>
          <w:noProof/>
        </w:rPr>
        <w:instrText xml:space="preserve"> PAGEREF _Toc399167404 \h </w:instrText>
      </w:r>
      <w:r>
        <w:rPr>
          <w:noProof/>
        </w:rPr>
      </w:r>
      <w:r>
        <w:rPr>
          <w:noProof/>
        </w:rPr>
        <w:fldChar w:fldCharType="separate"/>
      </w:r>
      <w:r w:rsidR="0039144E">
        <w:rPr>
          <w:noProof/>
        </w:rPr>
        <w:t>57</w:t>
      </w:r>
      <w:r>
        <w:rPr>
          <w:noProof/>
        </w:rPr>
        <w:fldChar w:fldCharType="end"/>
      </w:r>
    </w:p>
    <w:p w14:paraId="69D5F3A6" w14:textId="77777777" w:rsidR="005E4452" w:rsidRDefault="005E4452">
      <w:pPr>
        <w:pStyle w:val="TOC2"/>
        <w:rPr>
          <w:rFonts w:asciiTheme="minorHAnsi" w:eastAsiaTheme="minorEastAsia" w:hAnsiTheme="minorHAnsi" w:cstheme="minorBidi"/>
          <w:noProof/>
          <w:color w:val="auto"/>
          <w:sz w:val="22"/>
          <w:szCs w:val="22"/>
          <w:bdr w:val="none" w:sz="0" w:space="0" w:color="auto"/>
          <w:lang w:bidi="he-IL"/>
        </w:rPr>
      </w:pPr>
      <w:r w:rsidRPr="0036233B">
        <w:rPr>
          <w:rFonts w:eastAsia="Arial Unicode MS"/>
          <w:noProof/>
        </w:rPr>
        <w:t>C. The Scorpion Always Stings</w:t>
      </w:r>
      <w:r>
        <w:rPr>
          <w:noProof/>
        </w:rPr>
        <w:tab/>
      </w:r>
      <w:r>
        <w:rPr>
          <w:noProof/>
        </w:rPr>
        <w:fldChar w:fldCharType="begin"/>
      </w:r>
      <w:r>
        <w:rPr>
          <w:noProof/>
        </w:rPr>
        <w:instrText xml:space="preserve"> PAGEREF _Toc399167405 \h </w:instrText>
      </w:r>
      <w:r>
        <w:rPr>
          <w:noProof/>
        </w:rPr>
      </w:r>
      <w:r>
        <w:rPr>
          <w:noProof/>
        </w:rPr>
        <w:fldChar w:fldCharType="separate"/>
      </w:r>
      <w:r w:rsidR="0039144E">
        <w:rPr>
          <w:noProof/>
        </w:rPr>
        <w:t>60</w:t>
      </w:r>
      <w:r>
        <w:rPr>
          <w:noProof/>
        </w:rPr>
        <w:fldChar w:fldCharType="end"/>
      </w:r>
    </w:p>
    <w:p w14:paraId="4FF11F6A" w14:textId="77777777" w:rsidR="005E4452" w:rsidRDefault="005E4452">
      <w:pPr>
        <w:pStyle w:val="TOC1"/>
        <w:rPr>
          <w:rFonts w:asciiTheme="minorHAnsi" w:eastAsiaTheme="minorEastAsia" w:hAnsiTheme="minorHAnsi" w:cstheme="minorBidi"/>
          <w:noProof/>
          <w:color w:val="auto"/>
          <w:sz w:val="22"/>
          <w:szCs w:val="22"/>
          <w:bdr w:val="none" w:sz="0" w:space="0" w:color="auto"/>
          <w:lang w:bidi="he-IL"/>
        </w:rPr>
      </w:pPr>
      <w:r w:rsidRPr="0036233B">
        <w:rPr>
          <w:rFonts w:eastAsia="Arial Unicode MS"/>
          <w:noProof/>
          <w:color w:val="auto"/>
        </w:rPr>
        <w:t>Conclusion</w:t>
      </w:r>
      <w:r>
        <w:rPr>
          <w:noProof/>
        </w:rPr>
        <w:tab/>
      </w:r>
      <w:r>
        <w:rPr>
          <w:noProof/>
        </w:rPr>
        <w:fldChar w:fldCharType="begin"/>
      </w:r>
      <w:r>
        <w:rPr>
          <w:noProof/>
        </w:rPr>
        <w:instrText xml:space="preserve"> PAGEREF _Toc399167406 \h </w:instrText>
      </w:r>
      <w:r>
        <w:rPr>
          <w:noProof/>
        </w:rPr>
      </w:r>
      <w:r>
        <w:rPr>
          <w:noProof/>
        </w:rPr>
        <w:fldChar w:fldCharType="separate"/>
      </w:r>
      <w:r w:rsidR="0039144E">
        <w:rPr>
          <w:noProof/>
        </w:rPr>
        <w:t>64</w:t>
      </w:r>
      <w:r>
        <w:rPr>
          <w:noProof/>
        </w:rPr>
        <w:fldChar w:fldCharType="end"/>
      </w:r>
    </w:p>
    <w:p w14:paraId="68A887C9" w14:textId="77777777" w:rsidR="007F1F19" w:rsidRPr="00DD1543" w:rsidRDefault="00FD08B6">
      <w:pPr>
        <w:pStyle w:val="Heading1"/>
        <w:ind w:firstLine="720"/>
        <w:jc w:val="both"/>
        <w:rPr>
          <w:color w:val="auto"/>
        </w:rPr>
      </w:pPr>
      <w:r w:rsidRPr="00DD1543">
        <w:rPr>
          <w:rFonts w:eastAsia="Times New Roman Bold"/>
          <w:color w:val="auto"/>
        </w:rPr>
        <w:fldChar w:fldCharType="end"/>
      </w:r>
    </w:p>
    <w:p w14:paraId="246E0EE0" w14:textId="77777777" w:rsidR="007F1F19" w:rsidRPr="00DD1543" w:rsidRDefault="007F1F19">
      <w:pPr>
        <w:rPr>
          <w:rFonts w:hAnsi="Times New Roman" w:cs="Times New Roman"/>
          <w:i/>
          <w:iCs/>
          <w:color w:val="auto"/>
        </w:rPr>
      </w:pPr>
    </w:p>
    <w:p w14:paraId="2D3D6D96" w14:textId="77777777" w:rsidR="007F1F19" w:rsidRPr="00DD1543" w:rsidRDefault="007F1F19">
      <w:pPr>
        <w:rPr>
          <w:rFonts w:hAnsi="Times New Roman" w:cs="Times New Roman"/>
          <w:i/>
          <w:iCs/>
          <w:color w:val="auto"/>
        </w:rPr>
      </w:pPr>
    </w:p>
    <w:p w14:paraId="28A1CE8A" w14:textId="77777777" w:rsidR="007F1F19" w:rsidRPr="00DD1543" w:rsidRDefault="007F1F19">
      <w:pPr>
        <w:rPr>
          <w:rFonts w:hAnsi="Times New Roman" w:cs="Times New Roman"/>
          <w:i/>
          <w:iCs/>
          <w:color w:val="auto"/>
        </w:rPr>
      </w:pPr>
    </w:p>
    <w:p w14:paraId="627D3CB4" w14:textId="77777777" w:rsidR="007F1F19" w:rsidRDefault="002318AA">
      <w:pPr>
        <w:rPr>
          <w:rFonts w:hAnsi="Times New Roman" w:cs="Times New Roman"/>
          <w:i/>
          <w:iCs/>
          <w:color w:val="auto"/>
        </w:rPr>
      </w:pPr>
      <w:r w:rsidRPr="00DD1543">
        <w:rPr>
          <w:rFonts w:hAnsi="Times New Roman" w:cs="Times New Roman"/>
          <w:i/>
          <w:iCs/>
          <w:color w:val="auto"/>
        </w:rPr>
        <w:t>Scire</w:t>
      </w:r>
      <w:r w:rsidR="005502DC">
        <w:rPr>
          <w:rFonts w:hAnsi="Times New Roman" w:cs="Times New Roman"/>
          <w:i/>
          <w:iCs/>
          <w:color w:val="auto"/>
        </w:rPr>
        <w:t xml:space="preserve"> </w:t>
      </w:r>
      <w:r w:rsidRPr="00DD1543">
        <w:rPr>
          <w:rFonts w:hAnsi="Times New Roman" w:cs="Times New Roman"/>
          <w:i/>
          <w:iCs/>
          <w:color w:val="auto"/>
        </w:rPr>
        <w:t>tuum</w:t>
      </w:r>
      <w:r w:rsidR="005502DC">
        <w:rPr>
          <w:rFonts w:hAnsi="Times New Roman" w:cs="Times New Roman"/>
          <w:i/>
          <w:iCs/>
          <w:color w:val="auto"/>
        </w:rPr>
        <w:t xml:space="preserve"> </w:t>
      </w:r>
      <w:r w:rsidRPr="00DD1543">
        <w:rPr>
          <w:rFonts w:hAnsi="Times New Roman" w:cs="Times New Roman"/>
          <w:i/>
          <w:iCs/>
          <w:color w:val="auto"/>
        </w:rPr>
        <w:t>nihil</w:t>
      </w:r>
      <w:r w:rsidR="005502DC">
        <w:rPr>
          <w:rFonts w:hAnsi="Times New Roman" w:cs="Times New Roman"/>
          <w:i/>
          <w:iCs/>
          <w:color w:val="auto"/>
        </w:rPr>
        <w:t xml:space="preserve"> </w:t>
      </w:r>
      <w:r w:rsidRPr="00DD1543">
        <w:rPr>
          <w:rFonts w:hAnsi="Times New Roman" w:cs="Times New Roman"/>
          <w:i/>
          <w:iCs/>
          <w:color w:val="auto"/>
        </w:rPr>
        <w:t>est, nisi te</w:t>
      </w:r>
      <w:r w:rsidR="005502DC">
        <w:rPr>
          <w:rFonts w:hAnsi="Times New Roman" w:cs="Times New Roman"/>
          <w:i/>
          <w:iCs/>
          <w:color w:val="auto"/>
        </w:rPr>
        <w:t xml:space="preserve"> </w:t>
      </w:r>
      <w:r w:rsidRPr="00DD1543">
        <w:rPr>
          <w:rFonts w:hAnsi="Times New Roman" w:cs="Times New Roman"/>
          <w:i/>
          <w:iCs/>
          <w:color w:val="auto"/>
        </w:rPr>
        <w:t>scire hoc sciat alter</w:t>
      </w:r>
    </w:p>
    <w:p w14:paraId="798EA48C" w14:textId="77777777" w:rsidR="007F1F19" w:rsidRPr="00DD1543" w:rsidRDefault="005502DC" w:rsidP="00754016">
      <w:pPr>
        <w:rPr>
          <w:rFonts w:hAnsi="Times New Roman" w:cs="Times New Roman"/>
          <w:color w:val="auto"/>
        </w:rPr>
      </w:pPr>
      <w:r w:rsidRPr="00DD1543">
        <w:rPr>
          <w:rFonts w:hAnsi="Times New Roman" w:cs="Times New Roman"/>
          <w:color w:val="auto"/>
        </w:rPr>
        <w:t xml:space="preserve"> </w:t>
      </w:r>
      <w:r w:rsidR="00754016">
        <w:rPr>
          <w:rFonts w:hAnsi="Times New Roman" w:cs="Times New Roman"/>
          <w:color w:val="auto"/>
        </w:rPr>
        <w:t>[</w:t>
      </w:r>
      <w:r w:rsidR="002369D8">
        <w:rPr>
          <w:rFonts w:hAnsi="Times New Roman" w:cs="Times New Roman"/>
          <w:color w:val="auto"/>
        </w:rPr>
        <w:t>Y</w:t>
      </w:r>
      <w:r w:rsidR="002318AA" w:rsidRPr="00DD1543">
        <w:rPr>
          <w:rFonts w:hAnsi="Times New Roman" w:cs="Times New Roman"/>
          <w:color w:val="auto"/>
        </w:rPr>
        <w:t xml:space="preserve">our knowledge is nothing if no one else knows you know it] </w:t>
      </w:r>
    </w:p>
    <w:p w14:paraId="704B82EC" w14:textId="77777777" w:rsidR="007F1F19" w:rsidRPr="00DD1543" w:rsidRDefault="002318AA">
      <w:pPr>
        <w:ind w:left="5040" w:firstLine="720"/>
        <w:rPr>
          <w:rFonts w:hAnsi="Times New Roman" w:cs="Times New Roman"/>
          <w:color w:val="auto"/>
        </w:rPr>
      </w:pPr>
      <w:r w:rsidRPr="00DD1543">
        <w:rPr>
          <w:rFonts w:hAnsi="Times New Roman" w:cs="Times New Roman"/>
          <w:color w:val="auto"/>
        </w:rPr>
        <w:t xml:space="preserve">– Latin Proverb </w:t>
      </w:r>
    </w:p>
    <w:p w14:paraId="1BEA7F83" w14:textId="77777777" w:rsidR="007F1F19" w:rsidRPr="00DD1543" w:rsidRDefault="007F1F19">
      <w:pPr>
        <w:pStyle w:val="Heading1"/>
        <w:ind w:firstLine="720"/>
        <w:jc w:val="both"/>
        <w:rPr>
          <w:color w:val="auto"/>
        </w:rPr>
      </w:pPr>
    </w:p>
    <w:p w14:paraId="0E2A8E19" w14:textId="77777777" w:rsidR="007F1F19" w:rsidRPr="00DD1543" w:rsidRDefault="002318AA">
      <w:pPr>
        <w:pStyle w:val="Heading1"/>
        <w:ind w:firstLine="720"/>
        <w:jc w:val="both"/>
        <w:rPr>
          <w:color w:val="auto"/>
        </w:rPr>
      </w:pPr>
      <w:bookmarkStart w:id="1" w:name="_Toc399167383"/>
      <w:r w:rsidRPr="00DD1543">
        <w:rPr>
          <w:color w:val="auto"/>
        </w:rPr>
        <w:t>Introduction</w:t>
      </w:r>
      <w:bookmarkEnd w:id="1"/>
    </w:p>
    <w:p w14:paraId="119A0FD4" w14:textId="77777777" w:rsidR="007F1F19" w:rsidRPr="00DD1543" w:rsidRDefault="007F1F19">
      <w:pPr>
        <w:ind w:firstLine="720"/>
        <w:rPr>
          <w:rFonts w:hAnsi="Times New Roman" w:cs="Times New Roman"/>
          <w:color w:val="auto"/>
        </w:rPr>
      </w:pPr>
    </w:p>
    <w:p w14:paraId="5E5DFB13" w14:textId="77777777" w:rsidR="005A39FA" w:rsidRDefault="00AB3561" w:rsidP="00437FA0">
      <w:pPr>
        <w:ind w:firstLine="720"/>
        <w:rPr>
          <w:rFonts w:hAnsi="Times New Roman" w:cs="Times New Roman"/>
          <w:color w:val="auto"/>
        </w:rPr>
      </w:pPr>
      <w:r>
        <w:rPr>
          <w:rFonts w:hAnsi="Times New Roman" w:cs="Times New Roman"/>
          <w:color w:val="auto"/>
        </w:rPr>
        <w:t>C</w:t>
      </w:r>
      <w:r w:rsidR="002318AA" w:rsidRPr="00DD1543">
        <w:rPr>
          <w:rFonts w:hAnsi="Times New Roman" w:cs="Times New Roman"/>
          <w:color w:val="auto"/>
        </w:rPr>
        <w:t xml:space="preserve">ontemporary law has become grounded in the conviction that not only the </w:t>
      </w:r>
      <w:r w:rsidR="002318AA" w:rsidRPr="00DD1543">
        <w:rPr>
          <w:rFonts w:hAnsi="Times New Roman" w:cs="Times New Roman"/>
          <w:i/>
          <w:iCs/>
          <w:color w:val="auto"/>
        </w:rPr>
        <w:t>outputs</w:t>
      </w:r>
      <w:r w:rsidR="002318AA" w:rsidRPr="00DD1543">
        <w:rPr>
          <w:rFonts w:hAnsi="Times New Roman" w:cs="Times New Roman"/>
          <w:color w:val="auto"/>
        </w:rPr>
        <w:t xml:space="preserve"> of innovation – artistic expressions, scientific methods, and technological advances – but also the </w:t>
      </w:r>
      <w:r w:rsidR="002318AA" w:rsidRPr="00DD1543">
        <w:rPr>
          <w:rFonts w:hAnsi="Times New Roman" w:cs="Times New Roman"/>
          <w:i/>
          <w:iCs/>
          <w:color w:val="auto"/>
        </w:rPr>
        <w:t>inputs</w:t>
      </w:r>
      <w:r w:rsidR="002318AA" w:rsidRPr="00DD1543">
        <w:rPr>
          <w:rFonts w:hAnsi="Times New Roman" w:cs="Times New Roman"/>
          <w:color w:val="auto"/>
        </w:rPr>
        <w:t xml:space="preserve"> of innovation – skills, experience, know-how, professional relationships, </w:t>
      </w:r>
      <w:r w:rsidR="00C058EA">
        <w:rPr>
          <w:rFonts w:hAnsi="Times New Roman" w:cs="Times New Roman"/>
          <w:color w:val="auto"/>
        </w:rPr>
        <w:t>creativity</w:t>
      </w:r>
      <w:r w:rsidR="00A870D7">
        <w:rPr>
          <w:rFonts w:hAnsi="Times New Roman" w:cs="Times New Roman"/>
          <w:color w:val="auto"/>
        </w:rPr>
        <w:t xml:space="preserve"> and entrepreneurial energies </w:t>
      </w:r>
      <w:r w:rsidR="002318AA" w:rsidRPr="00DD1543">
        <w:rPr>
          <w:rFonts w:hAnsi="Times New Roman" w:cs="Times New Roman"/>
          <w:color w:val="auto"/>
        </w:rPr>
        <w:t xml:space="preserve">– are subject to control and propertization. In other words, we now face a reality of not only the expansion of intellectual property but also </w:t>
      </w:r>
      <w:r w:rsidR="002318AA" w:rsidRPr="00DD1543">
        <w:rPr>
          <w:rFonts w:hAnsi="Times New Roman" w:cs="Times New Roman"/>
          <w:i/>
          <w:iCs/>
          <w:color w:val="auto"/>
        </w:rPr>
        <w:t>cognitive property</w:t>
      </w:r>
      <w:r w:rsidR="002318AA" w:rsidRPr="00DD1543">
        <w:rPr>
          <w:rFonts w:hAnsi="Times New Roman" w:cs="Times New Roman"/>
          <w:color w:val="auto"/>
        </w:rPr>
        <w:t xml:space="preserve">. </w:t>
      </w:r>
      <w:r w:rsidR="00C058EA">
        <w:rPr>
          <w:rFonts w:hAnsi="Times New Roman" w:cs="Times New Roman"/>
          <w:color w:val="auto"/>
        </w:rPr>
        <w:t>The new cognitive property has emerged under the radar, commodifying intellectual intangibles which have traditionally been kept outside of the scope of intellectual property</w:t>
      </w:r>
      <w:r w:rsidR="00437FA0">
        <w:rPr>
          <w:rFonts w:hAnsi="Times New Roman" w:cs="Times New Roman"/>
          <w:color w:val="auto"/>
        </w:rPr>
        <w:t xml:space="preserve"> (IP)</w:t>
      </w:r>
      <w:r w:rsidR="00C058EA">
        <w:rPr>
          <w:rFonts w:hAnsi="Times New Roman" w:cs="Times New Roman"/>
          <w:color w:val="auto"/>
        </w:rPr>
        <w:t xml:space="preserve">. </w:t>
      </w:r>
      <w:r w:rsidR="002318AA" w:rsidRPr="00DD1543">
        <w:rPr>
          <w:rFonts w:hAnsi="Times New Roman" w:cs="Times New Roman"/>
          <w:color w:val="auto"/>
        </w:rPr>
        <w:t xml:space="preserve">This article introduces the </w:t>
      </w:r>
      <w:r w:rsidR="00754016">
        <w:rPr>
          <w:rFonts w:hAnsi="Times New Roman" w:cs="Times New Roman"/>
          <w:color w:val="auto"/>
        </w:rPr>
        <w:t xml:space="preserve">growing </w:t>
      </w:r>
      <w:r w:rsidR="002318AA" w:rsidRPr="00DD1543">
        <w:rPr>
          <w:rFonts w:hAnsi="Times New Roman" w:cs="Times New Roman"/>
          <w:color w:val="auto"/>
        </w:rPr>
        <w:t>field of huma</w:t>
      </w:r>
      <w:r w:rsidR="00C058EA">
        <w:rPr>
          <w:rFonts w:hAnsi="Times New Roman" w:cs="Times New Roman"/>
          <w:color w:val="auto"/>
        </w:rPr>
        <w:t>n capital law</w:t>
      </w:r>
      <w:r w:rsidR="009E7721">
        <w:rPr>
          <w:rFonts w:hAnsi="Times New Roman" w:cs="Times New Roman"/>
          <w:color w:val="auto"/>
        </w:rPr>
        <w:t xml:space="preserve">, </w:t>
      </w:r>
      <w:r w:rsidR="009E7721" w:rsidRPr="004604B6">
        <w:rPr>
          <w:rFonts w:hAnsi="Times New Roman" w:cs="Times New Roman"/>
          <w:color w:val="auto"/>
        </w:rPr>
        <w:t xml:space="preserve">at the intersections of </w:t>
      </w:r>
      <w:r w:rsidR="00437FA0">
        <w:rPr>
          <w:rFonts w:hAnsi="Times New Roman" w:cs="Times New Roman"/>
          <w:color w:val="auto"/>
        </w:rPr>
        <w:t>IP</w:t>
      </w:r>
      <w:r w:rsidR="009E7721" w:rsidRPr="004604B6">
        <w:rPr>
          <w:rFonts w:hAnsi="Times New Roman" w:cs="Times New Roman"/>
          <w:color w:val="auto"/>
        </w:rPr>
        <w:t xml:space="preserve"> law, contract and employment law, and antitrust </w:t>
      </w:r>
      <w:r w:rsidR="00754016">
        <w:rPr>
          <w:rFonts w:hAnsi="Times New Roman" w:cs="Times New Roman"/>
          <w:color w:val="auto"/>
        </w:rPr>
        <w:t>law</w:t>
      </w:r>
      <w:r w:rsidR="009E7721">
        <w:rPr>
          <w:rFonts w:hAnsi="Times New Roman" w:cs="Times New Roman"/>
          <w:color w:val="auto"/>
        </w:rPr>
        <w:t>,</w:t>
      </w:r>
      <w:r w:rsidR="00C058EA">
        <w:rPr>
          <w:rFonts w:hAnsi="Times New Roman" w:cs="Times New Roman"/>
          <w:color w:val="auto"/>
        </w:rPr>
        <w:t xml:space="preserve"> and </w:t>
      </w:r>
      <w:r w:rsidR="00754016">
        <w:rPr>
          <w:rFonts w:hAnsi="Times New Roman" w:cs="Times New Roman"/>
          <w:color w:val="auto"/>
        </w:rPr>
        <w:t>cautions</w:t>
      </w:r>
      <w:r w:rsidR="00C058EA">
        <w:rPr>
          <w:rFonts w:hAnsi="Times New Roman" w:cs="Times New Roman"/>
          <w:color w:val="auto"/>
        </w:rPr>
        <w:t xml:space="preserve"> against the</w:t>
      </w:r>
      <w:r w:rsidR="005C290B">
        <w:rPr>
          <w:rFonts w:hAnsi="Times New Roman" w:cs="Times New Roman"/>
          <w:color w:val="auto"/>
        </w:rPr>
        <w:t xml:space="preserve"> devastating effects of the</w:t>
      </w:r>
      <w:r w:rsidR="00C058EA">
        <w:rPr>
          <w:rFonts w:hAnsi="Times New Roman" w:cs="Times New Roman"/>
          <w:color w:val="auto"/>
        </w:rPr>
        <w:t xml:space="preserve"> </w:t>
      </w:r>
      <w:r w:rsidR="005C290B">
        <w:rPr>
          <w:rFonts w:hAnsi="Times New Roman" w:cs="Times New Roman"/>
          <w:color w:val="auto"/>
        </w:rPr>
        <w:t>growing</w:t>
      </w:r>
      <w:r w:rsidR="00C058EA">
        <w:rPr>
          <w:rFonts w:hAnsi="Times New Roman" w:cs="Times New Roman"/>
          <w:color w:val="auto"/>
        </w:rPr>
        <w:t xml:space="preserve"> enclosure of cognitive </w:t>
      </w:r>
      <w:r w:rsidR="005C290B">
        <w:rPr>
          <w:rFonts w:hAnsi="Times New Roman" w:cs="Times New Roman"/>
          <w:color w:val="auto"/>
        </w:rPr>
        <w:t>capacities in contemporary market</w:t>
      </w:r>
      <w:r w:rsidR="00754016">
        <w:rPr>
          <w:rFonts w:hAnsi="Times New Roman" w:cs="Times New Roman"/>
          <w:color w:val="auto"/>
        </w:rPr>
        <w:t>s</w:t>
      </w:r>
      <w:r w:rsidR="005C290B">
        <w:rPr>
          <w:rFonts w:hAnsi="Times New Roman" w:cs="Times New Roman"/>
          <w:color w:val="auto"/>
        </w:rPr>
        <w:t>.</w:t>
      </w:r>
      <w:r w:rsidR="00754016">
        <w:rPr>
          <w:rFonts w:hAnsi="Times New Roman" w:cs="Times New Roman"/>
          <w:color w:val="auto"/>
        </w:rPr>
        <w:t xml:space="preserve"> </w:t>
      </w:r>
      <w:r w:rsidR="002318AA" w:rsidRPr="00DD1543">
        <w:rPr>
          <w:rFonts w:hAnsi="Times New Roman" w:cs="Times New Roman"/>
          <w:color w:val="auto"/>
        </w:rPr>
        <w:t xml:space="preserve"> </w:t>
      </w:r>
    </w:p>
    <w:p w14:paraId="5675F78B" w14:textId="77777777" w:rsidR="005A39FA" w:rsidRDefault="005A39FA" w:rsidP="005C290B">
      <w:pPr>
        <w:ind w:firstLine="720"/>
        <w:rPr>
          <w:rFonts w:hAnsi="Times New Roman" w:cs="Times New Roman"/>
          <w:color w:val="auto"/>
        </w:rPr>
      </w:pPr>
    </w:p>
    <w:p w14:paraId="06A68211" w14:textId="5F574470" w:rsidR="00B14C73" w:rsidRDefault="002318AA" w:rsidP="00624731">
      <w:pPr>
        <w:ind w:firstLine="720"/>
        <w:rPr>
          <w:rFonts w:hAnsi="Times New Roman" w:cs="Times New Roman"/>
          <w:color w:val="auto"/>
        </w:rPr>
      </w:pPr>
      <w:r w:rsidRPr="00DD1543">
        <w:rPr>
          <w:rFonts w:hAnsi="Times New Roman" w:cs="Times New Roman"/>
          <w:color w:val="auto"/>
        </w:rPr>
        <w:t>Regulatory and contractual controls on human capital – post-employment restrictions including non-competition contracts, non-solicitation, non-poaching, and anti-dealing agreements;</w:t>
      </w:r>
      <w:r w:rsidR="005C290B">
        <w:rPr>
          <w:rFonts w:hAnsi="Times New Roman" w:cs="Times New Roman"/>
          <w:color w:val="auto"/>
        </w:rPr>
        <w:t xml:space="preserve"> collusive do-not-hire talent cartels;</w:t>
      </w:r>
      <w:r w:rsidRPr="00DD1543">
        <w:rPr>
          <w:rFonts w:hAnsi="Times New Roman" w:cs="Times New Roman"/>
          <w:color w:val="auto"/>
        </w:rPr>
        <w:t xml:space="preserve"> pre-invention assignment agreements of patents, copyright, as well as non-patentable and non-copyrightable ideas; and </w:t>
      </w:r>
      <w:r w:rsidR="00AB3561">
        <w:rPr>
          <w:rFonts w:hAnsi="Times New Roman" w:cs="Times New Roman"/>
          <w:color w:val="auto"/>
        </w:rPr>
        <w:t xml:space="preserve">non-disclosure agreements, trade secret </w:t>
      </w:r>
      <w:r w:rsidR="00754016">
        <w:rPr>
          <w:rFonts w:hAnsi="Times New Roman" w:cs="Times New Roman"/>
          <w:color w:val="auto"/>
        </w:rPr>
        <w:t>laws</w:t>
      </w:r>
      <w:r w:rsidR="00AB3561">
        <w:rPr>
          <w:rFonts w:hAnsi="Times New Roman" w:cs="Times New Roman"/>
          <w:color w:val="auto"/>
        </w:rPr>
        <w:t>, and economic espionage</w:t>
      </w:r>
      <w:r w:rsidRPr="00DD1543">
        <w:rPr>
          <w:rFonts w:hAnsi="Times New Roman" w:cs="Times New Roman"/>
          <w:color w:val="auto"/>
        </w:rPr>
        <w:t xml:space="preserve"> </w:t>
      </w:r>
      <w:r w:rsidR="00AB3561">
        <w:rPr>
          <w:rFonts w:hAnsi="Times New Roman" w:cs="Times New Roman"/>
          <w:color w:val="auto"/>
        </w:rPr>
        <w:t>prosecution against former insiders</w:t>
      </w:r>
      <w:r w:rsidRPr="00DD1543">
        <w:rPr>
          <w:rFonts w:hAnsi="Times New Roman" w:cs="Times New Roman"/>
          <w:color w:val="auto"/>
        </w:rPr>
        <w:t xml:space="preserve"> </w:t>
      </w:r>
      <w:r w:rsidR="002B0DC1">
        <w:rPr>
          <w:rFonts w:hAnsi="Times New Roman" w:cs="Times New Roman"/>
          <w:color w:val="auto"/>
        </w:rPr>
        <w:t xml:space="preserve">– </w:t>
      </w:r>
      <w:r w:rsidRPr="00DD1543">
        <w:rPr>
          <w:rFonts w:hAnsi="Times New Roman" w:cs="Times New Roman"/>
          <w:color w:val="auto"/>
        </w:rPr>
        <w:t xml:space="preserve">are among the fastest growing frontiers </w:t>
      </w:r>
      <w:r w:rsidRPr="00DD1543">
        <w:rPr>
          <w:rFonts w:hAnsi="Times New Roman" w:cs="Times New Roman"/>
          <w:color w:val="auto"/>
        </w:rPr>
        <w:lastRenderedPageBreak/>
        <w:t>of market battles.</w:t>
      </w:r>
      <w:bookmarkStart w:id="2" w:name="_Ref266780080"/>
      <w:r w:rsidRPr="00DD1543">
        <w:rPr>
          <w:rFonts w:hAnsi="Times New Roman" w:cs="Times New Roman"/>
          <w:color w:val="auto"/>
          <w:vertAlign w:val="superscript"/>
        </w:rPr>
        <w:footnoteReference w:id="3"/>
      </w:r>
      <w:bookmarkEnd w:id="2"/>
      <w:r w:rsidR="00662A58">
        <w:rPr>
          <w:rFonts w:hAnsi="Times New Roman" w:cs="Times New Roman"/>
          <w:color w:val="auto"/>
        </w:rPr>
        <w:t xml:space="preserve"> </w:t>
      </w:r>
      <w:r w:rsidRPr="000829FA">
        <w:rPr>
          <w:rFonts w:hAnsi="Times New Roman" w:cs="Times New Roman"/>
          <w:color w:val="auto"/>
        </w:rPr>
        <w:t xml:space="preserve">Regionally and globally, these </w:t>
      </w:r>
      <w:r w:rsidR="005A39FA">
        <w:rPr>
          <w:rFonts w:hAnsi="Times New Roman" w:cs="Times New Roman"/>
          <w:color w:val="auto"/>
        </w:rPr>
        <w:t>disputes</w:t>
      </w:r>
      <w:r w:rsidRPr="000829FA">
        <w:rPr>
          <w:rFonts w:hAnsi="Times New Roman" w:cs="Times New Roman"/>
          <w:color w:val="auto"/>
        </w:rPr>
        <w:t xml:space="preserve"> heavily shape industrial competition</w:t>
      </w:r>
      <w:r w:rsidR="00141380" w:rsidRPr="000829FA">
        <w:rPr>
          <w:rFonts w:hAnsi="Times New Roman" w:cs="Times New Roman"/>
          <w:color w:val="auto"/>
        </w:rPr>
        <w:t xml:space="preserve">. </w:t>
      </w:r>
      <w:r w:rsidR="00F408CA">
        <w:rPr>
          <w:rFonts w:hAnsi="Times New Roman" w:cs="Times New Roman"/>
          <w:color w:val="auto"/>
        </w:rPr>
        <w:t>T</w:t>
      </w:r>
      <w:r w:rsidRPr="000829FA">
        <w:rPr>
          <w:rFonts w:hAnsi="Times New Roman" w:cs="Times New Roman"/>
          <w:color w:val="auto"/>
        </w:rPr>
        <w:t>hrough this web of extensively employed mechanisms,</w:t>
      </w:r>
      <w:r w:rsidR="00DF6D7F" w:rsidRPr="000829FA">
        <w:rPr>
          <w:rFonts w:hAnsi="Times New Roman" w:cs="Times New Roman"/>
          <w:color w:val="auto"/>
        </w:rPr>
        <w:t xml:space="preserve"> </w:t>
      </w:r>
      <w:r w:rsidR="00AB3561">
        <w:rPr>
          <w:rFonts w:hAnsi="Times New Roman" w:cs="Times New Roman"/>
          <w:color w:val="auto"/>
        </w:rPr>
        <w:t>knowledge that has</w:t>
      </w:r>
      <w:r w:rsidR="00662A58">
        <w:rPr>
          <w:rFonts w:hAnsi="Times New Roman" w:cs="Times New Roman"/>
          <w:color w:val="auto"/>
        </w:rPr>
        <w:t xml:space="preserve"> </w:t>
      </w:r>
      <w:r w:rsidRPr="000829FA">
        <w:rPr>
          <w:rFonts w:hAnsi="Times New Roman" w:cs="Times New Roman"/>
          <w:color w:val="auto"/>
        </w:rPr>
        <w:t xml:space="preserve">traditionally </w:t>
      </w:r>
      <w:r w:rsidR="00AB3561">
        <w:rPr>
          <w:rFonts w:hAnsi="Times New Roman" w:cs="Times New Roman"/>
          <w:color w:val="auto"/>
        </w:rPr>
        <w:t xml:space="preserve">been </w:t>
      </w:r>
      <w:r w:rsidR="00D53391">
        <w:rPr>
          <w:rFonts w:hAnsi="Times New Roman" w:cs="Times New Roman"/>
          <w:color w:val="auto"/>
        </w:rPr>
        <w:t>deemed part of the public domain</w:t>
      </w:r>
      <w:r w:rsidR="00AB3561">
        <w:rPr>
          <w:rFonts w:hAnsi="Times New Roman" w:cs="Times New Roman"/>
          <w:color w:val="auto"/>
        </w:rPr>
        <w:t xml:space="preserve"> </w:t>
      </w:r>
      <w:r w:rsidRPr="000829FA">
        <w:rPr>
          <w:rFonts w:hAnsi="Times New Roman" w:cs="Times New Roman"/>
          <w:color w:val="auto"/>
        </w:rPr>
        <w:t>become</w:t>
      </w:r>
      <w:r w:rsidR="00AB3561">
        <w:rPr>
          <w:rFonts w:hAnsi="Times New Roman" w:cs="Times New Roman"/>
          <w:color w:val="auto"/>
        </w:rPr>
        <w:t>s</w:t>
      </w:r>
      <w:r w:rsidRPr="000829FA">
        <w:rPr>
          <w:rFonts w:hAnsi="Times New Roman" w:cs="Times New Roman"/>
          <w:color w:val="auto"/>
        </w:rPr>
        <w:t xml:space="preserve"> proprietary</w:t>
      </w:r>
      <w:r w:rsidR="00DF6D7F" w:rsidRPr="000829FA">
        <w:rPr>
          <w:rFonts w:hAnsi="Times New Roman" w:cs="Times New Roman"/>
          <w:color w:val="auto"/>
        </w:rPr>
        <w:t>.</w:t>
      </w:r>
      <w:r w:rsidRPr="00DD1543">
        <w:rPr>
          <w:rFonts w:hAnsi="Times New Roman" w:cs="Times New Roman"/>
          <w:color w:val="auto"/>
        </w:rPr>
        <w:t xml:space="preserve"> Pre-</w:t>
      </w:r>
      <w:r w:rsidR="0034652A">
        <w:rPr>
          <w:rFonts w:hAnsi="Times New Roman" w:cs="Times New Roman"/>
          <w:color w:val="auto"/>
        </w:rPr>
        <w:t>innovation</w:t>
      </w:r>
      <w:r w:rsidRPr="00DD1543">
        <w:rPr>
          <w:rFonts w:hAnsi="Times New Roman" w:cs="Times New Roman"/>
          <w:color w:val="auto"/>
        </w:rPr>
        <w:t xml:space="preserve"> assignment agreements regularly go beyond the subjects that intellectual property deem commodifiable. </w:t>
      </w:r>
      <w:r w:rsidR="00932BAB">
        <w:rPr>
          <w:rFonts w:hAnsi="Times New Roman" w:cs="Times New Roman"/>
          <w:color w:val="auto"/>
        </w:rPr>
        <w:t xml:space="preserve">They also regularly reach into the future, propertizing innovation that has not yet been conceived. </w:t>
      </w:r>
      <w:r w:rsidRPr="00DD1543">
        <w:rPr>
          <w:rFonts w:hAnsi="Times New Roman" w:cs="Times New Roman"/>
          <w:color w:val="auto"/>
        </w:rPr>
        <w:t>Non-disclosure agreements span beyond traditionally de</w:t>
      </w:r>
      <w:r w:rsidR="00AB3561">
        <w:rPr>
          <w:rFonts w:hAnsi="Times New Roman" w:cs="Times New Roman"/>
          <w:color w:val="auto"/>
        </w:rPr>
        <w:t>fined secrets under trade secrecy</w:t>
      </w:r>
      <w:r w:rsidRPr="00DD1543">
        <w:rPr>
          <w:rFonts w:hAnsi="Times New Roman" w:cs="Times New Roman"/>
          <w:color w:val="auto"/>
        </w:rPr>
        <w:t xml:space="preserve"> law</w:t>
      </w:r>
      <w:r w:rsidR="00AB3561">
        <w:rPr>
          <w:rFonts w:hAnsi="Times New Roman" w:cs="Times New Roman"/>
          <w:color w:val="auto"/>
        </w:rPr>
        <w:t>s</w:t>
      </w:r>
      <w:r w:rsidRPr="00DD1543">
        <w:rPr>
          <w:rFonts w:hAnsi="Times New Roman" w:cs="Times New Roman"/>
          <w:color w:val="auto"/>
        </w:rPr>
        <w:t xml:space="preserve"> and are routinely enforced by courts.</w:t>
      </w:r>
      <w:r w:rsidRPr="00DD1543">
        <w:rPr>
          <w:rFonts w:hAnsi="Times New Roman" w:cs="Times New Roman"/>
          <w:color w:val="auto"/>
          <w:vertAlign w:val="superscript"/>
        </w:rPr>
        <w:footnoteReference w:id="4"/>
      </w:r>
      <w:r w:rsidR="00AB3561">
        <w:rPr>
          <w:rFonts w:hAnsi="Times New Roman" w:cs="Times New Roman"/>
          <w:color w:val="auto"/>
        </w:rPr>
        <w:t xml:space="preserve"> V</w:t>
      </w:r>
      <w:r w:rsidRPr="00DD1543">
        <w:rPr>
          <w:rFonts w:hAnsi="Times New Roman" w:cs="Times New Roman"/>
          <w:color w:val="auto"/>
        </w:rPr>
        <w:t>iolations of secrecy requirements are</w:t>
      </w:r>
      <w:r w:rsidR="00AB3561">
        <w:rPr>
          <w:rFonts w:hAnsi="Times New Roman" w:cs="Times New Roman"/>
          <w:color w:val="auto"/>
        </w:rPr>
        <w:t xml:space="preserve"> also</w:t>
      </w:r>
      <w:r w:rsidRPr="00DD1543">
        <w:rPr>
          <w:rFonts w:hAnsi="Times New Roman" w:cs="Times New Roman"/>
          <w:color w:val="auto"/>
        </w:rPr>
        <w:t xml:space="preserve"> increasingly criminalized</w:t>
      </w:r>
      <w:r w:rsidR="00090437">
        <w:rPr>
          <w:rFonts w:hAnsi="Times New Roman" w:cs="Times New Roman"/>
          <w:color w:val="auto"/>
        </w:rPr>
        <w:t>,</w:t>
      </w:r>
      <w:r w:rsidR="00692F7F">
        <w:rPr>
          <w:rFonts w:hAnsi="Times New Roman" w:cs="Times New Roman"/>
          <w:color w:val="auto"/>
        </w:rPr>
        <w:t xml:space="preserve"> </w:t>
      </w:r>
      <w:r w:rsidRPr="00DD1543">
        <w:rPr>
          <w:rFonts w:hAnsi="Times New Roman" w:cs="Times New Roman"/>
          <w:color w:val="auto"/>
        </w:rPr>
        <w:t>chilling</w:t>
      </w:r>
      <w:r w:rsidR="00205696">
        <w:rPr>
          <w:rFonts w:hAnsi="Times New Roman" w:cs="Times New Roman"/>
          <w:color w:val="auto"/>
        </w:rPr>
        <w:t xml:space="preserve"> </w:t>
      </w:r>
      <w:r w:rsidR="009E7721">
        <w:rPr>
          <w:rFonts w:hAnsi="Times New Roman" w:cs="Times New Roman"/>
          <w:color w:val="auto"/>
        </w:rPr>
        <w:t>exchanges that are recognized</w:t>
      </w:r>
      <w:r w:rsidRPr="00DD1543">
        <w:rPr>
          <w:rFonts w:hAnsi="Times New Roman" w:cs="Times New Roman"/>
          <w:color w:val="auto"/>
        </w:rPr>
        <w:t xml:space="preserve"> as </w:t>
      </w:r>
      <w:r w:rsidR="009E7721">
        <w:rPr>
          <w:rFonts w:hAnsi="Times New Roman" w:cs="Times New Roman"/>
          <w:color w:val="auto"/>
        </w:rPr>
        <w:t xml:space="preserve">productive and </w:t>
      </w:r>
      <w:r w:rsidRPr="00DD1543">
        <w:rPr>
          <w:rFonts w:hAnsi="Times New Roman" w:cs="Times New Roman"/>
          <w:color w:val="auto"/>
        </w:rPr>
        <w:t xml:space="preserve">consistent with professional norms. Non-compete agreements are now required in almost every industry and position, </w:t>
      </w:r>
      <w:r w:rsidR="00090437">
        <w:t>stymieing</w:t>
      </w:r>
      <w:r w:rsidR="0053628D" w:rsidRPr="00DD1543">
        <w:rPr>
          <w:rFonts w:hAnsi="Times New Roman" w:cs="Times New Roman"/>
          <w:color w:val="auto"/>
        </w:rPr>
        <w:t xml:space="preserve"> </w:t>
      </w:r>
      <w:r w:rsidRPr="00DD1543">
        <w:rPr>
          <w:rFonts w:hAnsi="Times New Roman" w:cs="Times New Roman"/>
          <w:color w:val="auto"/>
        </w:rPr>
        <w:t xml:space="preserve">job mobility and </w:t>
      </w:r>
      <w:r w:rsidR="00AB3561">
        <w:rPr>
          <w:rFonts w:hAnsi="Times New Roman" w:cs="Times New Roman"/>
          <w:color w:val="auto"/>
        </w:rPr>
        <w:t>information</w:t>
      </w:r>
      <w:r w:rsidRPr="00DD1543">
        <w:rPr>
          <w:rFonts w:hAnsi="Times New Roman" w:cs="Times New Roman"/>
          <w:color w:val="auto"/>
        </w:rPr>
        <w:t xml:space="preserve"> flow</w:t>
      </w:r>
      <w:r w:rsidR="00AB3561">
        <w:rPr>
          <w:rFonts w:hAnsi="Times New Roman" w:cs="Times New Roman"/>
          <w:color w:val="auto"/>
        </w:rPr>
        <w:t>s</w:t>
      </w:r>
      <w:r w:rsidRPr="00DD1543">
        <w:rPr>
          <w:rFonts w:hAnsi="Times New Roman" w:cs="Times New Roman"/>
          <w:color w:val="auto"/>
        </w:rPr>
        <w:t xml:space="preserve">. </w:t>
      </w:r>
      <w:r w:rsidR="00B14C73">
        <w:rPr>
          <w:rFonts w:hAnsi="Times New Roman" w:cs="Times New Roman"/>
          <w:color w:val="auto"/>
        </w:rPr>
        <w:t>Beyond the individualized agreements between firms and employees, n</w:t>
      </w:r>
      <w:r w:rsidRPr="00DD1543">
        <w:rPr>
          <w:rFonts w:hAnsi="Times New Roman" w:cs="Times New Roman"/>
          <w:color w:val="auto"/>
        </w:rPr>
        <w:t>ew antitrust investigations of Silicon Valley</w:t>
      </w:r>
      <w:r w:rsidR="0053628D">
        <w:rPr>
          <w:rFonts w:hAnsi="Times New Roman" w:cs="Times New Roman"/>
          <w:color w:val="auto"/>
        </w:rPr>
        <w:t xml:space="preserve"> giants</w:t>
      </w:r>
      <w:r w:rsidRPr="00DD1543">
        <w:rPr>
          <w:rFonts w:hAnsi="Times New Roman" w:cs="Times New Roman"/>
          <w:color w:val="auto"/>
        </w:rPr>
        <w:t>, including Apple, Google, Intel, eBay</w:t>
      </w:r>
      <w:r w:rsidR="00205696">
        <w:rPr>
          <w:rFonts w:hAnsi="Times New Roman" w:cs="Times New Roman"/>
          <w:color w:val="auto"/>
        </w:rPr>
        <w:t>,</w:t>
      </w:r>
      <w:r w:rsidRPr="00DD1543">
        <w:rPr>
          <w:rFonts w:hAnsi="Times New Roman" w:cs="Times New Roman"/>
          <w:color w:val="auto"/>
        </w:rPr>
        <w:t xml:space="preserve"> and Pixar, revea</w:t>
      </w:r>
      <w:r w:rsidR="00205696">
        <w:rPr>
          <w:rFonts w:hAnsi="Times New Roman" w:cs="Times New Roman"/>
          <w:color w:val="auto"/>
        </w:rPr>
        <w:t>l</w:t>
      </w:r>
      <w:r w:rsidRPr="00DD1543">
        <w:rPr>
          <w:rFonts w:hAnsi="Times New Roman" w:cs="Times New Roman"/>
          <w:color w:val="auto"/>
        </w:rPr>
        <w:t xml:space="preserve"> the </w:t>
      </w:r>
      <w:r w:rsidR="00B14C73">
        <w:rPr>
          <w:rFonts w:hAnsi="Times New Roman" w:cs="Times New Roman"/>
          <w:color w:val="auto"/>
        </w:rPr>
        <w:t>rise</w:t>
      </w:r>
      <w:r w:rsidRPr="00DD1543">
        <w:rPr>
          <w:rFonts w:hAnsi="Times New Roman" w:cs="Times New Roman"/>
          <w:color w:val="auto"/>
        </w:rPr>
        <w:t xml:space="preserve"> of collusive anti-poaching agreements</w:t>
      </w:r>
      <w:r w:rsidR="00B14C73">
        <w:rPr>
          <w:rFonts w:hAnsi="Times New Roman" w:cs="Times New Roman"/>
          <w:color w:val="auto"/>
        </w:rPr>
        <w:t xml:space="preserve"> between firms</w:t>
      </w:r>
      <w:r w:rsidRPr="00DD1543">
        <w:rPr>
          <w:rFonts w:hAnsi="Times New Roman" w:cs="Times New Roman"/>
          <w:color w:val="auto"/>
        </w:rPr>
        <w:t xml:space="preserve">. </w:t>
      </w:r>
      <w:r w:rsidR="0034652A">
        <w:rPr>
          <w:rFonts w:hAnsi="Times New Roman" w:cs="Times New Roman"/>
          <w:color w:val="auto"/>
        </w:rPr>
        <w:t>Post-employment restrictions have become so widespread that they form a cognitive property thicket which curtails efficient recruitment efforts and entrepreneurship.</w:t>
      </w:r>
    </w:p>
    <w:p w14:paraId="3CD86F3D" w14:textId="77777777" w:rsidR="00B14C73" w:rsidRDefault="00B14C73" w:rsidP="00B14C73">
      <w:pPr>
        <w:ind w:firstLine="720"/>
        <w:rPr>
          <w:rFonts w:hAnsi="Times New Roman" w:cs="Times New Roman"/>
          <w:color w:val="auto"/>
        </w:rPr>
      </w:pPr>
    </w:p>
    <w:p w14:paraId="56303F51" w14:textId="3CC397DD" w:rsidR="007F1F19" w:rsidRPr="00855910" w:rsidRDefault="002318AA" w:rsidP="00624731">
      <w:pPr>
        <w:ind w:firstLine="720"/>
        <w:rPr>
          <w:rFonts w:hAnsi="Times New Roman" w:cs="Times New Roman"/>
          <w:color w:val="auto"/>
        </w:rPr>
      </w:pPr>
      <w:r w:rsidRPr="00855910">
        <w:rPr>
          <w:rFonts w:hAnsi="Times New Roman" w:cs="Times New Roman"/>
          <w:color w:val="auto"/>
        </w:rPr>
        <w:t>While intellectual property law</w:t>
      </w:r>
      <w:r w:rsidR="0053628D" w:rsidRPr="00855910">
        <w:rPr>
          <w:rFonts w:hAnsi="Times New Roman" w:cs="Times New Roman"/>
          <w:color w:val="auto"/>
        </w:rPr>
        <w:t xml:space="preserve"> </w:t>
      </w:r>
      <w:r w:rsidRPr="00855910">
        <w:rPr>
          <w:rFonts w:hAnsi="Times New Roman" w:cs="Times New Roman"/>
          <w:color w:val="auto"/>
        </w:rPr>
        <w:t>restrict</w:t>
      </w:r>
      <w:r w:rsidR="0053628D" w:rsidRPr="00855910">
        <w:rPr>
          <w:rFonts w:hAnsi="Times New Roman" w:cs="Times New Roman"/>
          <w:color w:val="auto"/>
        </w:rPr>
        <w:t>s</w:t>
      </w:r>
      <w:r w:rsidRPr="00855910">
        <w:rPr>
          <w:rFonts w:hAnsi="Times New Roman" w:cs="Times New Roman"/>
          <w:color w:val="auto"/>
        </w:rPr>
        <w:t xml:space="preserve"> knowledge and information that cannot be taken out of the public domain, this delicate balance is </w:t>
      </w:r>
      <w:r w:rsidR="0034652A">
        <w:rPr>
          <w:rFonts w:hAnsi="Times New Roman" w:cs="Times New Roman"/>
          <w:color w:val="auto"/>
        </w:rPr>
        <w:t>subverted</w:t>
      </w:r>
      <w:r w:rsidRPr="00855910">
        <w:rPr>
          <w:rFonts w:hAnsi="Times New Roman" w:cs="Times New Roman"/>
          <w:color w:val="auto"/>
        </w:rPr>
        <w:t xml:space="preserve"> </w:t>
      </w:r>
      <w:r w:rsidR="00B14C73" w:rsidRPr="00855910">
        <w:rPr>
          <w:rFonts w:hAnsi="Times New Roman" w:cs="Times New Roman"/>
          <w:color w:val="auto"/>
        </w:rPr>
        <w:t>in the emerging field of human capital</w:t>
      </w:r>
      <w:r w:rsidRPr="00855910">
        <w:rPr>
          <w:rFonts w:hAnsi="Times New Roman" w:cs="Times New Roman"/>
          <w:color w:val="auto"/>
        </w:rPr>
        <w:t xml:space="preserve"> law. </w:t>
      </w:r>
      <w:r w:rsidR="00B14C73" w:rsidRPr="00855910">
        <w:rPr>
          <w:rFonts w:hAnsi="Times New Roman" w:cs="Times New Roman"/>
          <w:color w:val="auto"/>
        </w:rPr>
        <w:t>I</w:t>
      </w:r>
      <w:r w:rsidRPr="00855910">
        <w:rPr>
          <w:rFonts w:hAnsi="Times New Roman" w:cs="Times New Roman"/>
          <w:color w:val="auto"/>
        </w:rPr>
        <w:t xml:space="preserve">n patent law, the lines between </w:t>
      </w:r>
      <w:r w:rsidR="0034652A">
        <w:rPr>
          <w:rFonts w:hAnsi="Times New Roman" w:cs="Times New Roman"/>
          <w:color w:val="auto"/>
        </w:rPr>
        <w:t xml:space="preserve">non-patentable </w:t>
      </w:r>
      <w:r w:rsidRPr="00855910">
        <w:rPr>
          <w:rFonts w:hAnsi="Times New Roman" w:cs="Times New Roman"/>
          <w:color w:val="auto"/>
        </w:rPr>
        <w:t xml:space="preserve">abstract ideas and </w:t>
      </w:r>
      <w:r w:rsidR="0034652A">
        <w:rPr>
          <w:rFonts w:hAnsi="Times New Roman" w:cs="Times New Roman"/>
          <w:color w:val="auto"/>
        </w:rPr>
        <w:t xml:space="preserve">patentable </w:t>
      </w:r>
      <w:r w:rsidRPr="00855910">
        <w:rPr>
          <w:rFonts w:hAnsi="Times New Roman" w:cs="Times New Roman"/>
          <w:color w:val="auto"/>
        </w:rPr>
        <w:t xml:space="preserve">inventions are heavily monitored. </w:t>
      </w:r>
      <w:r w:rsidR="00B14C73" w:rsidRPr="00855910">
        <w:rPr>
          <w:rFonts w:hAnsi="Times New Roman" w:cs="Times New Roman"/>
          <w:color w:val="auto"/>
        </w:rPr>
        <w:t>Mo</w:t>
      </w:r>
      <w:r w:rsidR="00855910">
        <w:rPr>
          <w:rFonts w:hAnsi="Times New Roman" w:cs="Times New Roman"/>
          <w:color w:val="auto"/>
        </w:rPr>
        <w:t>s</w:t>
      </w:r>
      <w:r w:rsidR="00B14C73" w:rsidRPr="00855910">
        <w:rPr>
          <w:rFonts w:hAnsi="Times New Roman" w:cs="Times New Roman"/>
          <w:color w:val="auto"/>
        </w:rPr>
        <w:t>t recently, in June 2014,</w:t>
      </w:r>
      <w:r w:rsidR="002F2605">
        <w:rPr>
          <w:rFonts w:hAnsi="Times New Roman" w:cs="Times New Roman"/>
          <w:color w:val="auto"/>
        </w:rPr>
        <w:t xml:space="preserve"> </w:t>
      </w:r>
      <w:r w:rsidR="00CC3298" w:rsidRPr="00855910">
        <w:rPr>
          <w:rFonts w:hAnsi="Times New Roman" w:cs="Times New Roman"/>
          <w:color w:val="auto"/>
        </w:rPr>
        <w:t>the Supreme Court unanimously ruled</w:t>
      </w:r>
      <w:r w:rsidR="00CC3298" w:rsidRPr="00855910">
        <w:rPr>
          <w:rStyle w:val="apple-converted-space"/>
          <w:rFonts w:hAnsi="Times New Roman" w:cs="Times New Roman"/>
          <w:color w:val="auto"/>
          <w:shd w:val="clear" w:color="auto" w:fill="FFFFFF"/>
        </w:rPr>
        <w:t> </w:t>
      </w:r>
      <w:r w:rsidR="00CC3298" w:rsidRPr="00855910">
        <w:rPr>
          <w:rFonts w:hAnsi="Times New Roman" w:cs="Times New Roman"/>
          <w:color w:val="auto"/>
          <w:shd w:val="clear" w:color="auto" w:fill="FFFFFF"/>
        </w:rPr>
        <w:t>that a computer-implemented electronic escrow service for facilitating financial transactions was</w:t>
      </w:r>
      <w:r w:rsidR="00CC3298" w:rsidRPr="00855910">
        <w:rPr>
          <w:rStyle w:val="apple-converted-space"/>
          <w:rFonts w:hAnsi="Times New Roman" w:cs="Times New Roman"/>
          <w:color w:val="auto"/>
          <w:shd w:val="clear" w:color="auto" w:fill="FFFFFF"/>
        </w:rPr>
        <w:t> </w:t>
      </w:r>
      <w:r w:rsidR="00CC3298" w:rsidRPr="00855910">
        <w:rPr>
          <w:rFonts w:hAnsi="Times New Roman" w:cs="Times New Roman"/>
          <w:color w:val="auto"/>
          <w:shd w:val="clear" w:color="auto" w:fill="FFFFFF"/>
        </w:rPr>
        <w:t>ineligible for patent protection because the claims were drawn to an abstract idea rather than a patentable invention</w:t>
      </w:r>
      <w:r w:rsidR="00A23392">
        <w:rPr>
          <w:rFonts w:hAnsi="Times New Roman" w:cs="Times New Roman"/>
          <w:color w:val="auto"/>
          <w:shd w:val="clear" w:color="auto" w:fill="FFFFFF"/>
        </w:rPr>
        <w:t>.</w:t>
      </w:r>
      <w:r w:rsidR="00B14C73" w:rsidRPr="00855910">
        <w:rPr>
          <w:rStyle w:val="FootnoteReference"/>
          <w:rFonts w:hAnsi="Times New Roman" w:cs="Times New Roman"/>
          <w:color w:val="auto"/>
          <w:shd w:val="clear" w:color="auto" w:fill="FFFFFF"/>
        </w:rPr>
        <w:footnoteReference w:id="5"/>
      </w:r>
      <w:r w:rsidR="00B14C73" w:rsidRPr="00356D7A">
        <w:rPr>
          <w:rFonts w:hAnsi="Times New Roman" w:cs="Times New Roman"/>
          <w:color w:val="auto"/>
        </w:rPr>
        <w:t xml:space="preserve"> </w:t>
      </w:r>
      <w:r w:rsidRPr="00855910">
        <w:rPr>
          <w:rFonts w:hAnsi="Times New Roman" w:cs="Times New Roman"/>
          <w:color w:val="auto"/>
        </w:rPr>
        <w:t xml:space="preserve">Similarly, in copyright law the boundaries between expressions and ideas are </w:t>
      </w:r>
      <w:r w:rsidR="00670033" w:rsidRPr="00855910">
        <w:rPr>
          <w:rFonts w:hAnsi="Times New Roman" w:cs="Times New Roman"/>
          <w:color w:val="auto"/>
        </w:rPr>
        <w:t>extensively</w:t>
      </w:r>
      <w:r w:rsidR="0034652A">
        <w:rPr>
          <w:rFonts w:hAnsi="Times New Roman" w:cs="Times New Roman"/>
          <w:color w:val="auto"/>
        </w:rPr>
        <w:t xml:space="preserve"> policed to ensure</w:t>
      </w:r>
      <w:r w:rsidR="00670033" w:rsidRPr="00855910">
        <w:rPr>
          <w:rFonts w:hAnsi="Times New Roman" w:cs="Times New Roman"/>
          <w:color w:val="auto"/>
        </w:rPr>
        <w:t xml:space="preserve"> </w:t>
      </w:r>
      <w:r w:rsidRPr="00855910">
        <w:rPr>
          <w:rFonts w:hAnsi="Times New Roman" w:cs="Times New Roman"/>
          <w:color w:val="auto"/>
        </w:rPr>
        <w:t xml:space="preserve">that ideas themselves </w:t>
      </w:r>
      <w:r w:rsidR="0034652A">
        <w:rPr>
          <w:rFonts w:hAnsi="Times New Roman" w:cs="Times New Roman"/>
          <w:color w:val="auto"/>
        </w:rPr>
        <w:t>will</w:t>
      </w:r>
      <w:r w:rsidRPr="00855910">
        <w:rPr>
          <w:rFonts w:hAnsi="Times New Roman" w:cs="Times New Roman"/>
          <w:color w:val="auto"/>
        </w:rPr>
        <w:t xml:space="preserve"> become property.</w:t>
      </w:r>
      <w:r w:rsidR="00855910">
        <w:rPr>
          <w:rStyle w:val="FootnoteReference"/>
          <w:rFonts w:hAnsi="Times New Roman" w:cs="Times New Roman"/>
          <w:color w:val="auto"/>
          <w:shd w:val="clear" w:color="auto" w:fill="FFFFFF"/>
        </w:rPr>
        <w:footnoteReference w:id="6"/>
      </w:r>
      <w:r w:rsidR="00855910" w:rsidRPr="00855910">
        <w:rPr>
          <w:rFonts w:hAnsi="Times New Roman" w:cs="Times New Roman"/>
          <w:color w:val="auto"/>
        </w:rPr>
        <w:t xml:space="preserve"> </w:t>
      </w:r>
      <w:r w:rsidR="0034652A">
        <w:rPr>
          <w:rFonts w:hAnsi="Times New Roman" w:cs="Times New Roman"/>
          <w:color w:val="auto"/>
        </w:rPr>
        <w:t>And yet, this article uncovers how the</w:t>
      </w:r>
      <w:r w:rsidRPr="00855910">
        <w:rPr>
          <w:rFonts w:hAnsi="Times New Roman" w:cs="Times New Roman"/>
          <w:color w:val="auto"/>
        </w:rPr>
        <w:t xml:space="preserve"> logic of intellectual property, cautiously maintaining a balan</w:t>
      </w:r>
      <w:r w:rsidR="0034652A">
        <w:rPr>
          <w:rFonts w:hAnsi="Times New Roman" w:cs="Times New Roman"/>
          <w:color w:val="auto"/>
        </w:rPr>
        <w:t>ce between monopolized information</w:t>
      </w:r>
      <w:r w:rsidRPr="00855910">
        <w:rPr>
          <w:rFonts w:hAnsi="Times New Roman" w:cs="Times New Roman"/>
          <w:color w:val="auto"/>
        </w:rPr>
        <w:t xml:space="preserve"> and the public domain</w:t>
      </w:r>
      <w:r w:rsidR="00624731">
        <w:rPr>
          <w:rFonts w:hAnsi="Times New Roman" w:cs="Times New Roman"/>
          <w:color w:val="auto"/>
        </w:rPr>
        <w:t xml:space="preserve">, </w:t>
      </w:r>
      <w:r w:rsidR="00855910" w:rsidRPr="00855910">
        <w:rPr>
          <w:rFonts w:hAnsi="Times New Roman" w:cs="Times New Roman"/>
          <w:color w:val="auto"/>
        </w:rPr>
        <w:t>betw</w:t>
      </w:r>
      <w:r w:rsidR="0034652A">
        <w:rPr>
          <w:rFonts w:hAnsi="Times New Roman" w:cs="Times New Roman"/>
          <w:color w:val="auto"/>
        </w:rPr>
        <w:t>een propertized intangibles and</w:t>
      </w:r>
      <w:r w:rsidR="00855910" w:rsidRPr="00855910">
        <w:rPr>
          <w:rFonts w:hAnsi="Times New Roman" w:cs="Times New Roman"/>
          <w:color w:val="auto"/>
        </w:rPr>
        <w:t xml:space="preserve"> </w:t>
      </w:r>
      <w:r w:rsidR="0034652A">
        <w:rPr>
          <w:rFonts w:hAnsi="Times New Roman" w:cs="Times New Roman"/>
          <w:color w:val="auto"/>
        </w:rPr>
        <w:t xml:space="preserve">knowledge </w:t>
      </w:r>
      <w:r w:rsidR="00855910" w:rsidRPr="00855910">
        <w:rPr>
          <w:rFonts w:hAnsi="Times New Roman" w:cs="Times New Roman"/>
          <w:color w:val="auto"/>
        </w:rPr>
        <w:t xml:space="preserve">flow, </w:t>
      </w:r>
      <w:r w:rsidRPr="00855910">
        <w:rPr>
          <w:rFonts w:hAnsi="Times New Roman" w:cs="Times New Roman"/>
          <w:color w:val="auto"/>
        </w:rPr>
        <w:t xml:space="preserve">is </w:t>
      </w:r>
      <w:r w:rsidR="00855910" w:rsidRPr="00855910">
        <w:rPr>
          <w:rFonts w:hAnsi="Times New Roman" w:cs="Times New Roman"/>
          <w:color w:val="auto"/>
        </w:rPr>
        <w:t>undermined</w:t>
      </w:r>
      <w:r w:rsidRPr="00855910">
        <w:rPr>
          <w:rFonts w:hAnsi="Times New Roman" w:cs="Times New Roman"/>
          <w:color w:val="auto"/>
        </w:rPr>
        <w:t xml:space="preserve"> by a second, and </w:t>
      </w:r>
      <w:r w:rsidR="009E7721">
        <w:rPr>
          <w:rFonts w:hAnsi="Times New Roman" w:cs="Times New Roman"/>
          <w:color w:val="auto"/>
        </w:rPr>
        <w:t xml:space="preserve">rapidly </w:t>
      </w:r>
      <w:r w:rsidRPr="00855910">
        <w:rPr>
          <w:rFonts w:hAnsi="Times New Roman" w:cs="Times New Roman"/>
          <w:color w:val="auto"/>
        </w:rPr>
        <w:t xml:space="preserve">growing layer of cognitive controls </w:t>
      </w:r>
      <w:r w:rsidRPr="00855910">
        <w:rPr>
          <w:rFonts w:hAnsi="Times New Roman" w:cs="Times New Roman"/>
          <w:color w:val="auto"/>
        </w:rPr>
        <w:lastRenderedPageBreak/>
        <w:t xml:space="preserve">through human capital law. The expansion of controls over human capital has </w:t>
      </w:r>
      <w:r w:rsidR="0034652A">
        <w:rPr>
          <w:rFonts w:hAnsi="Times New Roman" w:cs="Times New Roman"/>
          <w:color w:val="auto"/>
        </w:rPr>
        <w:t xml:space="preserve">thus </w:t>
      </w:r>
      <w:r w:rsidRPr="00855910">
        <w:rPr>
          <w:rFonts w:hAnsi="Times New Roman" w:cs="Times New Roman"/>
          <w:color w:val="auto"/>
        </w:rPr>
        <w:t>become the blind</w:t>
      </w:r>
      <w:r w:rsidR="0076735D">
        <w:rPr>
          <w:rFonts w:hAnsi="Times New Roman" w:cs="Times New Roman"/>
          <w:color w:val="auto"/>
        </w:rPr>
        <w:t xml:space="preserve"> </w:t>
      </w:r>
      <w:r w:rsidRPr="00855910">
        <w:rPr>
          <w:rFonts w:hAnsi="Times New Roman" w:cs="Times New Roman"/>
          <w:color w:val="auto"/>
        </w:rPr>
        <w:t>spot of intellectual property debates.</w:t>
      </w:r>
    </w:p>
    <w:p w14:paraId="13F9DD32" w14:textId="77777777" w:rsidR="00301907" w:rsidRPr="00DD1543" w:rsidRDefault="00301907" w:rsidP="007D6D05">
      <w:pPr>
        <w:ind w:firstLine="720"/>
        <w:rPr>
          <w:rFonts w:hAnsi="Times New Roman" w:cs="Times New Roman"/>
          <w:color w:val="auto"/>
        </w:rPr>
      </w:pPr>
    </w:p>
    <w:p w14:paraId="73A787AD" w14:textId="77777777" w:rsidR="00AA609C" w:rsidRDefault="002318AA" w:rsidP="00D11645">
      <w:pPr>
        <w:ind w:firstLine="720"/>
        <w:rPr>
          <w:rFonts w:hAnsi="Times New Roman" w:cs="Times New Roman"/>
          <w:color w:val="auto"/>
        </w:rPr>
      </w:pPr>
      <w:r w:rsidRPr="00DD1543">
        <w:rPr>
          <w:rFonts w:hAnsi="Times New Roman" w:cs="Times New Roman"/>
          <w:color w:val="auto"/>
        </w:rPr>
        <w:t>The</w:t>
      </w:r>
      <w:r w:rsidRPr="00670033">
        <w:rPr>
          <w:rFonts w:hAnsi="Times New Roman" w:cs="Times New Roman"/>
          <w:color w:val="auto"/>
        </w:rPr>
        <w:t xml:space="preserve"> talent wars are heated.</w:t>
      </w:r>
      <w:r w:rsidR="00670033">
        <w:rPr>
          <w:rFonts w:hAnsi="Times New Roman" w:cs="Times New Roman"/>
          <w:color w:val="auto"/>
        </w:rPr>
        <w:t xml:space="preserve"> </w:t>
      </w:r>
      <w:r w:rsidR="00B1684D" w:rsidRPr="00670033">
        <w:rPr>
          <w:rFonts w:hAnsi="Times New Roman" w:cs="Times New Roman"/>
          <w:color w:val="auto"/>
        </w:rPr>
        <w:t>More than ever before,</w:t>
      </w:r>
      <w:r w:rsidR="00670033">
        <w:rPr>
          <w:rFonts w:hAnsi="Times New Roman" w:cs="Times New Roman"/>
          <w:color w:val="auto"/>
        </w:rPr>
        <w:t xml:space="preserve"> </w:t>
      </w:r>
      <w:r w:rsidR="003034AC">
        <w:rPr>
          <w:rFonts w:hAnsi="Times New Roman" w:cs="Times New Roman"/>
          <w:color w:val="auto"/>
        </w:rPr>
        <w:t xml:space="preserve">the </w:t>
      </w:r>
      <w:r w:rsidR="00670033">
        <w:rPr>
          <w:rFonts w:hAnsi="Times New Roman" w:cs="Times New Roman"/>
          <w:color w:val="auto"/>
        </w:rPr>
        <w:t>recruitment, retention</w:t>
      </w:r>
      <w:r w:rsidR="00AA609C">
        <w:rPr>
          <w:rFonts w:hAnsi="Times New Roman" w:cs="Times New Roman"/>
          <w:color w:val="auto"/>
        </w:rPr>
        <w:t>,</w:t>
      </w:r>
      <w:r w:rsidR="00670033">
        <w:rPr>
          <w:rFonts w:hAnsi="Times New Roman" w:cs="Times New Roman"/>
          <w:color w:val="auto"/>
        </w:rPr>
        <w:t xml:space="preserve"> and engagement of employees </w:t>
      </w:r>
      <w:r w:rsidR="001B43B4">
        <w:rPr>
          <w:rFonts w:hAnsi="Times New Roman" w:cs="Times New Roman"/>
          <w:color w:val="auto"/>
        </w:rPr>
        <w:t xml:space="preserve">sit atop </w:t>
      </w:r>
      <w:r w:rsidR="00670033">
        <w:rPr>
          <w:rFonts w:hAnsi="Times New Roman" w:cs="Times New Roman"/>
          <w:color w:val="auto"/>
        </w:rPr>
        <w:t>business’ priority list</w:t>
      </w:r>
      <w:r w:rsidR="00D11645">
        <w:rPr>
          <w:rFonts w:hAnsi="Times New Roman" w:cs="Times New Roman"/>
          <w:color w:val="auto"/>
        </w:rPr>
        <w:t>s,</w:t>
      </w:r>
      <w:r w:rsidR="00670033">
        <w:rPr>
          <w:rStyle w:val="FootnoteReference"/>
          <w:rFonts w:hAnsi="Times New Roman" w:cs="Times New Roman"/>
          <w:color w:val="auto"/>
        </w:rPr>
        <w:footnoteReference w:id="7"/>
      </w:r>
      <w:r w:rsidR="00A41AB1">
        <w:rPr>
          <w:rFonts w:hAnsi="Times New Roman" w:cs="Times New Roman"/>
          <w:color w:val="auto"/>
          <w:shd w:val="clear" w:color="auto" w:fill="FFFFFF"/>
        </w:rPr>
        <w:t xml:space="preserve"> </w:t>
      </w:r>
      <w:r w:rsidR="00D11645">
        <w:rPr>
          <w:rFonts w:hAnsi="Times New Roman" w:cs="Times New Roman"/>
          <w:color w:val="auto"/>
          <w:shd w:val="clear" w:color="auto" w:fill="FFFFFF"/>
        </w:rPr>
        <w:t>and yet</w:t>
      </w:r>
      <w:r w:rsidRPr="004604B6">
        <w:rPr>
          <w:rFonts w:hAnsi="Times New Roman" w:cs="Times New Roman"/>
          <w:color w:val="auto"/>
        </w:rPr>
        <w:t xml:space="preserve"> huma</w:t>
      </w:r>
      <w:r w:rsidR="009E7721">
        <w:rPr>
          <w:rFonts w:hAnsi="Times New Roman" w:cs="Times New Roman"/>
          <w:color w:val="auto"/>
        </w:rPr>
        <w:t>n capital law</w:t>
      </w:r>
      <w:r w:rsidRPr="004604B6">
        <w:rPr>
          <w:rFonts w:hAnsi="Times New Roman" w:cs="Times New Roman"/>
          <w:color w:val="auto"/>
        </w:rPr>
        <w:t xml:space="preserve"> remains diffuse and murky.</w:t>
      </w:r>
      <w:r w:rsidRPr="00DD1543">
        <w:rPr>
          <w:rFonts w:hAnsi="Times New Roman" w:cs="Times New Roman"/>
          <w:color w:val="auto"/>
        </w:rPr>
        <w:t xml:space="preserve"> </w:t>
      </w:r>
      <w:r w:rsidR="00AA609C">
        <w:rPr>
          <w:rFonts w:hAnsi="Times New Roman" w:cs="Times New Roman"/>
          <w:color w:val="auto"/>
        </w:rPr>
        <w:t xml:space="preserve">Analyzing the current state of human capital law against </w:t>
      </w:r>
      <w:r w:rsidR="00D11645">
        <w:rPr>
          <w:rFonts w:hAnsi="Times New Roman" w:cs="Times New Roman"/>
          <w:color w:val="auto"/>
        </w:rPr>
        <w:t>new</w:t>
      </w:r>
      <w:r w:rsidR="00AA609C">
        <w:rPr>
          <w:rFonts w:hAnsi="Times New Roman" w:cs="Times New Roman"/>
          <w:color w:val="auto"/>
        </w:rPr>
        <w:t xml:space="preserve"> empirical research, t</w:t>
      </w:r>
      <w:r w:rsidRPr="00DD1543">
        <w:rPr>
          <w:rFonts w:hAnsi="Times New Roman" w:cs="Times New Roman"/>
          <w:color w:val="auto"/>
        </w:rPr>
        <w:t xml:space="preserve">his article challenges orthodox economic assumptions about the </w:t>
      </w:r>
      <w:r w:rsidR="00D11645">
        <w:rPr>
          <w:rFonts w:hAnsi="Times New Roman" w:cs="Times New Roman"/>
          <w:color w:val="auto"/>
        </w:rPr>
        <w:t>need for cognitive property, demonstrates the inadvertent harm from the unrestrained shifts toward such controls, and</w:t>
      </w:r>
      <w:r w:rsidRPr="00DD1543">
        <w:rPr>
          <w:rFonts w:hAnsi="Times New Roman" w:cs="Times New Roman"/>
          <w:color w:val="auto"/>
        </w:rPr>
        <w:t xml:space="preserve"> calls for the recognition of </w:t>
      </w:r>
      <w:r w:rsidR="00D11645">
        <w:rPr>
          <w:rFonts w:hAnsi="Times New Roman" w:cs="Times New Roman"/>
          <w:color w:val="auto"/>
        </w:rPr>
        <w:t>human capital</w:t>
      </w:r>
      <w:r w:rsidRPr="00DD1543">
        <w:rPr>
          <w:rFonts w:hAnsi="Times New Roman" w:cs="Times New Roman"/>
          <w:color w:val="auto"/>
        </w:rPr>
        <w:t xml:space="preserve"> as a shared public resource. The realities of twenty-first century production and competition, which have changed </w:t>
      </w:r>
      <w:r w:rsidR="00A41AB1">
        <w:rPr>
          <w:rFonts w:hAnsi="Times New Roman" w:cs="Times New Roman"/>
          <w:color w:val="auto"/>
        </w:rPr>
        <w:t>work patterns</w:t>
      </w:r>
      <w:r w:rsidRPr="00DD1543">
        <w:rPr>
          <w:rFonts w:hAnsi="Times New Roman" w:cs="Times New Roman"/>
          <w:color w:val="auto"/>
        </w:rPr>
        <w:t xml:space="preserve"> and increased the premium on constant innovation, coincide with the accumulation of new empirical insights on innovation and knowledge creation. While these developments are of great significance, legal scholarship on human capital remains surprisingly thin. The traditional and under-developed analysis of human capital law views controls over human capital as necessary to generate investment and growth. At the same time, a growing body of empirical evidence indicates that excessive human capital controls have detrimental effects. </w:t>
      </w:r>
      <w:r w:rsidR="00F408CA">
        <w:rPr>
          <w:rFonts w:hAnsi="Times New Roman" w:cs="Times New Roman"/>
          <w:color w:val="auto"/>
        </w:rPr>
        <w:t>L</w:t>
      </w:r>
      <w:r w:rsidRPr="00DD1543">
        <w:rPr>
          <w:rFonts w:hAnsi="Times New Roman" w:cs="Times New Roman"/>
          <w:color w:val="auto"/>
        </w:rPr>
        <w:t xml:space="preserve">aw’s role in safeguarding and promoting human capital as a shared resource is little understood. A closer study of human capital law regimes suggests that </w:t>
      </w:r>
      <w:r w:rsidR="00AA609C">
        <w:rPr>
          <w:rFonts w:hAnsi="Times New Roman" w:cs="Times New Roman"/>
          <w:color w:val="auto"/>
        </w:rPr>
        <w:t xml:space="preserve">the most </w:t>
      </w:r>
      <w:r w:rsidRPr="00DD1543">
        <w:rPr>
          <w:rFonts w:hAnsi="Times New Roman" w:cs="Times New Roman"/>
          <w:color w:val="auto"/>
        </w:rPr>
        <w:t xml:space="preserve">successful regional economies </w:t>
      </w:r>
      <w:r w:rsidR="00AA609C">
        <w:rPr>
          <w:rFonts w:hAnsi="Times New Roman" w:cs="Times New Roman"/>
          <w:color w:val="auto"/>
        </w:rPr>
        <w:t>have relied on legal regimes that</w:t>
      </w:r>
      <w:r w:rsidRPr="00DD1543">
        <w:rPr>
          <w:rFonts w:hAnsi="Times New Roman" w:cs="Times New Roman"/>
          <w:color w:val="auto"/>
        </w:rPr>
        <w:t xml:space="preserve"> nurture a cognitive commons, protect mobility, and encourage the densification of knowledge networks. </w:t>
      </w:r>
    </w:p>
    <w:p w14:paraId="7D0CE0BE" w14:textId="77777777" w:rsidR="00AA609C" w:rsidRDefault="00AA609C" w:rsidP="00AA609C">
      <w:pPr>
        <w:ind w:firstLine="720"/>
        <w:rPr>
          <w:rFonts w:hAnsi="Times New Roman" w:cs="Times New Roman"/>
          <w:color w:val="auto"/>
        </w:rPr>
      </w:pPr>
    </w:p>
    <w:p w14:paraId="7216E49D" w14:textId="0F0CF486" w:rsidR="00284555" w:rsidRDefault="002318AA" w:rsidP="00284555">
      <w:pPr>
        <w:pStyle w:val="NormalWeb"/>
        <w:spacing w:after="240"/>
        <w:ind w:firstLine="720"/>
        <w:jc w:val="both"/>
        <w:rPr>
          <w:rFonts w:hAnsi="Times New Roman" w:cs="Times New Roman"/>
          <w:color w:val="auto"/>
        </w:rPr>
      </w:pPr>
      <w:r w:rsidRPr="00DD1543">
        <w:rPr>
          <w:rFonts w:hAnsi="Times New Roman" w:cs="Times New Roman"/>
          <w:color w:val="auto"/>
        </w:rPr>
        <w:t xml:space="preserve">The article proceeds as follows: Section I </w:t>
      </w:r>
      <w:r w:rsidR="005B0D46">
        <w:rPr>
          <w:rFonts w:hAnsi="Times New Roman" w:cs="Times New Roman"/>
          <w:color w:val="auto"/>
        </w:rPr>
        <w:t>argues</w:t>
      </w:r>
      <w:r w:rsidRPr="00DD1543">
        <w:rPr>
          <w:rFonts w:hAnsi="Times New Roman" w:cs="Times New Roman"/>
          <w:color w:val="auto"/>
        </w:rPr>
        <w:t xml:space="preserve"> that the </w:t>
      </w:r>
      <w:r w:rsidR="00986B1C">
        <w:rPr>
          <w:rFonts w:hAnsi="Times New Roman" w:cs="Times New Roman"/>
          <w:color w:val="auto"/>
        </w:rPr>
        <w:t>contemporary</w:t>
      </w:r>
      <w:r w:rsidRPr="00DD1543">
        <w:rPr>
          <w:rFonts w:hAnsi="Times New Roman" w:cs="Times New Roman"/>
          <w:color w:val="auto"/>
        </w:rPr>
        <w:t xml:space="preserve"> intellectual property </w:t>
      </w:r>
      <w:r w:rsidR="0027015F">
        <w:rPr>
          <w:rFonts w:hAnsi="Times New Roman" w:cs="Times New Roman"/>
          <w:color w:val="auto"/>
        </w:rPr>
        <w:t>debate</w:t>
      </w:r>
      <w:r w:rsidR="00986B1C">
        <w:rPr>
          <w:rFonts w:hAnsi="Times New Roman" w:cs="Times New Roman"/>
          <w:color w:val="auto"/>
        </w:rPr>
        <w:t>s</w:t>
      </w:r>
      <w:r w:rsidR="0027015F">
        <w:rPr>
          <w:rFonts w:hAnsi="Times New Roman" w:cs="Times New Roman"/>
          <w:color w:val="auto"/>
        </w:rPr>
        <w:t xml:space="preserve"> </w:t>
      </w:r>
      <w:r w:rsidR="00986B1C">
        <w:rPr>
          <w:rFonts w:hAnsi="Times New Roman" w:cs="Times New Roman"/>
          <w:color w:val="auto"/>
        </w:rPr>
        <w:t>have</w:t>
      </w:r>
      <w:r w:rsidRPr="00DD1543">
        <w:rPr>
          <w:rFonts w:hAnsi="Times New Roman" w:cs="Times New Roman"/>
          <w:color w:val="auto"/>
        </w:rPr>
        <w:t xml:space="preserve"> obscured the broader ways in which knowledge and </w:t>
      </w:r>
      <w:r w:rsidR="00B971CE">
        <w:rPr>
          <w:rFonts w:hAnsi="Times New Roman" w:cs="Times New Roman"/>
          <w:color w:val="auto"/>
        </w:rPr>
        <w:t xml:space="preserve">the </w:t>
      </w:r>
      <w:r w:rsidRPr="00DD1543">
        <w:rPr>
          <w:rFonts w:hAnsi="Times New Roman" w:cs="Times New Roman"/>
          <w:color w:val="auto"/>
        </w:rPr>
        <w:t xml:space="preserve">potential </w:t>
      </w:r>
      <w:r w:rsidR="00B971CE">
        <w:rPr>
          <w:rFonts w:hAnsi="Times New Roman" w:cs="Times New Roman"/>
          <w:color w:val="auto"/>
        </w:rPr>
        <w:t>to innovate</w:t>
      </w:r>
      <w:r w:rsidR="00606688">
        <w:rPr>
          <w:rFonts w:hAnsi="Times New Roman" w:cs="Times New Roman"/>
          <w:color w:val="auto"/>
        </w:rPr>
        <w:t xml:space="preserve"> are restricted. The</w:t>
      </w:r>
      <w:r w:rsidRPr="00DD1543">
        <w:rPr>
          <w:rFonts w:hAnsi="Times New Roman" w:cs="Times New Roman"/>
          <w:color w:val="auto"/>
        </w:rPr>
        <w:t xml:space="preserve"> section presents three interrelated expansions of human capital controls. </w:t>
      </w:r>
      <w:r w:rsidRPr="00F4316C">
        <w:rPr>
          <w:rFonts w:hAnsi="Times New Roman" w:cs="Times New Roman"/>
          <w:color w:val="auto"/>
        </w:rPr>
        <w:t>First,</w:t>
      </w:r>
      <w:r w:rsidR="00A41AB1">
        <w:rPr>
          <w:rFonts w:hAnsi="Times New Roman" w:cs="Times New Roman"/>
          <w:color w:val="auto"/>
        </w:rPr>
        <w:t xml:space="preserve"> </w:t>
      </w:r>
      <w:r w:rsidR="00F4316C" w:rsidRPr="005B0D46">
        <w:rPr>
          <w:rFonts w:hAnsi="Times New Roman" w:cs="Times New Roman"/>
          <w:i/>
          <w:iCs/>
          <w:color w:val="auto"/>
        </w:rPr>
        <w:t>subject-wise</w:t>
      </w:r>
      <w:r w:rsidR="00F4316C" w:rsidRPr="00F4316C">
        <w:rPr>
          <w:rFonts w:hAnsi="Times New Roman" w:cs="Times New Roman"/>
          <w:color w:val="auto"/>
        </w:rPr>
        <w:t>,</w:t>
      </w:r>
      <w:r w:rsidR="00F353B9" w:rsidRPr="00F4316C">
        <w:rPr>
          <w:rFonts w:hAnsi="Times New Roman" w:cs="Times New Roman"/>
          <w:color w:val="auto"/>
        </w:rPr>
        <w:t xml:space="preserve"> through agreements assigning all innovation “</w:t>
      </w:r>
      <w:r w:rsidR="00D70092" w:rsidRPr="00F4316C">
        <w:rPr>
          <w:rFonts w:hAnsi="Times New Roman" w:cs="Times New Roman"/>
          <w:i/>
          <w:color w:val="auto"/>
        </w:rPr>
        <w:t>whether patentable or non-patentab</w:t>
      </w:r>
      <w:r w:rsidR="00F353B9" w:rsidRPr="00F4316C">
        <w:rPr>
          <w:rFonts w:hAnsi="Times New Roman" w:cs="Times New Roman"/>
          <w:i/>
          <w:color w:val="auto"/>
        </w:rPr>
        <w:t>le; whether copyrightable or non-copyrightable</w:t>
      </w:r>
      <w:r w:rsidR="00F353B9" w:rsidRPr="00F4316C">
        <w:rPr>
          <w:rFonts w:hAnsi="Times New Roman" w:cs="Times New Roman"/>
          <w:color w:val="auto"/>
        </w:rPr>
        <w:t>,”</w:t>
      </w:r>
      <w:r w:rsidR="00324760">
        <w:rPr>
          <w:rFonts w:hAnsi="Times New Roman" w:cs="Times New Roman"/>
          <w:color w:val="auto"/>
        </w:rPr>
        <w:t xml:space="preserve"> </w:t>
      </w:r>
      <w:r w:rsidR="005B0D46">
        <w:rPr>
          <w:rFonts w:hAnsi="Times New Roman" w:cs="Times New Roman"/>
          <w:color w:val="auto"/>
        </w:rPr>
        <w:t xml:space="preserve">as well as </w:t>
      </w:r>
      <w:r w:rsidR="009E7721">
        <w:rPr>
          <w:rFonts w:hAnsi="Times New Roman" w:cs="Times New Roman"/>
          <w:color w:val="auto"/>
        </w:rPr>
        <w:t xml:space="preserve">through developments in </w:t>
      </w:r>
      <w:r w:rsidR="00B64D7F">
        <w:rPr>
          <w:rFonts w:hAnsi="Times New Roman" w:cs="Times New Roman"/>
          <w:color w:val="auto"/>
        </w:rPr>
        <w:t>trade secret</w:t>
      </w:r>
      <w:r w:rsidR="00324760">
        <w:rPr>
          <w:rFonts w:hAnsi="Times New Roman" w:cs="Times New Roman"/>
          <w:color w:val="auto"/>
        </w:rPr>
        <w:t xml:space="preserve"> law</w:t>
      </w:r>
      <w:r w:rsidR="005B0D46">
        <w:rPr>
          <w:rFonts w:hAnsi="Times New Roman" w:cs="Times New Roman"/>
          <w:color w:val="auto"/>
        </w:rPr>
        <w:t>,</w:t>
      </w:r>
      <w:r w:rsidR="009E7721">
        <w:rPr>
          <w:rFonts w:hAnsi="Times New Roman" w:cs="Times New Roman"/>
          <w:color w:val="auto"/>
        </w:rPr>
        <w:t xml:space="preserve"> </w:t>
      </w:r>
      <w:r w:rsidR="005B0D46">
        <w:rPr>
          <w:rFonts w:hAnsi="Times New Roman" w:cs="Times New Roman"/>
          <w:color w:val="auto"/>
        </w:rPr>
        <w:t xml:space="preserve">the </w:t>
      </w:r>
      <w:r w:rsidR="009E7721">
        <w:rPr>
          <w:rFonts w:hAnsi="Times New Roman" w:cs="Times New Roman"/>
          <w:color w:val="auto"/>
        </w:rPr>
        <w:t>propertization of intangible assets has</w:t>
      </w:r>
      <w:r w:rsidRPr="003F50F9">
        <w:rPr>
          <w:rFonts w:hAnsi="Times New Roman" w:cs="Times New Roman"/>
          <w:color w:val="auto"/>
        </w:rPr>
        <w:t xml:space="preserve"> expanded </w:t>
      </w:r>
      <w:r w:rsidR="00932BAB">
        <w:rPr>
          <w:rFonts w:hAnsi="Times New Roman" w:cs="Times New Roman"/>
          <w:color w:val="auto"/>
        </w:rPr>
        <w:t xml:space="preserve">deep </w:t>
      </w:r>
      <w:r w:rsidRPr="003F50F9">
        <w:rPr>
          <w:rFonts w:hAnsi="Times New Roman" w:cs="Times New Roman"/>
          <w:color w:val="auto"/>
        </w:rPr>
        <w:t xml:space="preserve">into the intangibility spectrum, </w:t>
      </w:r>
      <w:r w:rsidR="009E7721">
        <w:rPr>
          <w:rFonts w:hAnsi="Times New Roman" w:cs="Times New Roman"/>
          <w:color w:val="auto"/>
        </w:rPr>
        <w:t>enclosing</w:t>
      </w:r>
      <w:r w:rsidRPr="003F50F9">
        <w:rPr>
          <w:rFonts w:hAnsi="Times New Roman" w:cs="Times New Roman"/>
          <w:color w:val="auto"/>
        </w:rPr>
        <w:t xml:space="preserve"> knowledge that falls outside the scope of patent and copyright</w:t>
      </w:r>
      <w:r w:rsidR="00F353B9" w:rsidRPr="006F727D">
        <w:rPr>
          <w:rFonts w:hAnsi="Times New Roman" w:cs="Times New Roman"/>
          <w:color w:val="auto"/>
        </w:rPr>
        <w:t>.</w:t>
      </w:r>
      <w:r w:rsidR="0027015F">
        <w:rPr>
          <w:rFonts w:hAnsi="Times New Roman" w:cs="Times New Roman"/>
          <w:color w:val="auto"/>
        </w:rPr>
        <w:t xml:space="preserve"> </w:t>
      </w:r>
      <w:r w:rsidR="00B64D7F">
        <w:rPr>
          <w:rFonts w:hAnsi="Times New Roman" w:cs="Times New Roman"/>
          <w:color w:val="auto"/>
        </w:rPr>
        <w:t xml:space="preserve">The </w:t>
      </w:r>
      <w:r w:rsidR="002C5173">
        <w:rPr>
          <w:rFonts w:hAnsi="Times New Roman" w:cs="Times New Roman"/>
          <w:color w:val="auto"/>
        </w:rPr>
        <w:t>increased criminalization</w:t>
      </w:r>
      <w:r w:rsidR="00B64D7F">
        <w:rPr>
          <w:rFonts w:hAnsi="Times New Roman" w:cs="Times New Roman"/>
          <w:color w:val="auto"/>
        </w:rPr>
        <w:t xml:space="preserve"> of trade secret protections</w:t>
      </w:r>
      <w:r w:rsidR="004448BB">
        <w:rPr>
          <w:rFonts w:hAnsi="Times New Roman" w:cs="Times New Roman"/>
          <w:color w:val="auto"/>
        </w:rPr>
        <w:t>, far more amorphously defined than other IP pillars,</w:t>
      </w:r>
      <w:r w:rsidR="00B64D7F">
        <w:rPr>
          <w:rFonts w:hAnsi="Times New Roman" w:cs="Times New Roman"/>
          <w:color w:val="auto"/>
        </w:rPr>
        <w:t xml:space="preserve"> functions to further subvert the boundaries between protectable and non-protectable knowledge. </w:t>
      </w:r>
      <w:r w:rsidRPr="004604B6">
        <w:rPr>
          <w:rFonts w:hAnsi="Times New Roman" w:cs="Times New Roman"/>
          <w:color w:val="auto"/>
        </w:rPr>
        <w:t xml:space="preserve">Second, </w:t>
      </w:r>
      <w:r w:rsidRPr="005B0D46">
        <w:rPr>
          <w:rFonts w:hAnsi="Times New Roman" w:cs="Times New Roman"/>
          <w:i/>
          <w:iCs/>
          <w:color w:val="auto"/>
        </w:rPr>
        <w:t>time-wise</w:t>
      </w:r>
      <w:r w:rsidRPr="004604B6">
        <w:rPr>
          <w:rFonts w:hAnsi="Times New Roman" w:cs="Times New Roman"/>
          <w:color w:val="auto"/>
        </w:rPr>
        <w:t xml:space="preserve">, ownership </w:t>
      </w:r>
      <w:r w:rsidR="00324760" w:rsidRPr="004604B6">
        <w:rPr>
          <w:rFonts w:hAnsi="Times New Roman" w:cs="Times New Roman"/>
          <w:color w:val="auto"/>
        </w:rPr>
        <w:t xml:space="preserve">has expanded to </w:t>
      </w:r>
      <w:r w:rsidRPr="004604B6">
        <w:rPr>
          <w:rFonts w:hAnsi="Times New Roman" w:cs="Times New Roman"/>
          <w:color w:val="auto"/>
        </w:rPr>
        <w:t xml:space="preserve">future innovation </w:t>
      </w:r>
      <w:r w:rsidR="00324760" w:rsidRPr="004604B6">
        <w:rPr>
          <w:rFonts w:hAnsi="Times New Roman" w:cs="Times New Roman"/>
          <w:color w:val="auto"/>
        </w:rPr>
        <w:t>as well as</w:t>
      </w:r>
      <w:r w:rsidR="00D70092" w:rsidRPr="004604B6">
        <w:rPr>
          <w:rFonts w:hAnsi="Times New Roman" w:cs="Times New Roman"/>
          <w:color w:val="auto"/>
        </w:rPr>
        <w:t xml:space="preserve"> attempts to go back in time and capture prior knowledge that an employee held when joining a firm.</w:t>
      </w:r>
      <w:r w:rsidR="00D70092">
        <w:rPr>
          <w:rFonts w:hAnsi="Times New Roman" w:cs="Times New Roman"/>
          <w:color w:val="auto"/>
        </w:rPr>
        <w:t xml:space="preserve"> </w:t>
      </w:r>
      <w:r w:rsidR="000F3146">
        <w:rPr>
          <w:rFonts w:hAnsi="Times New Roman" w:cs="Times New Roman"/>
          <w:color w:val="auto"/>
        </w:rPr>
        <w:t xml:space="preserve">The </w:t>
      </w:r>
      <w:r w:rsidR="000F3146">
        <w:rPr>
          <w:rFonts w:hAnsi="Times New Roman" w:cs="Times New Roman"/>
          <w:color w:val="auto"/>
        </w:rPr>
        <w:lastRenderedPageBreak/>
        <w:t>expansion includes a rise in both pre-innovation assignment</w:t>
      </w:r>
      <w:r w:rsidR="00B74F15">
        <w:rPr>
          <w:rFonts w:hAnsi="Times New Roman" w:cs="Times New Roman"/>
          <w:color w:val="auto"/>
        </w:rPr>
        <w:t xml:space="preserve"> contracts</w:t>
      </w:r>
      <w:r w:rsidR="000F3146">
        <w:rPr>
          <w:rFonts w:hAnsi="Times New Roman" w:cs="Times New Roman"/>
          <w:color w:val="auto"/>
        </w:rPr>
        <w:t xml:space="preserve">, including trailer </w:t>
      </w:r>
      <w:r w:rsidR="005B0D46">
        <w:rPr>
          <w:rFonts w:hAnsi="Times New Roman" w:cs="Times New Roman"/>
          <w:color w:val="auto"/>
        </w:rPr>
        <w:t>clauses</w:t>
      </w:r>
      <w:r w:rsidR="000F3146">
        <w:rPr>
          <w:rFonts w:hAnsi="Times New Roman" w:cs="Times New Roman"/>
          <w:color w:val="auto"/>
        </w:rPr>
        <w:t xml:space="preserve">, which reach into the </w:t>
      </w:r>
      <w:r w:rsidR="000F3146" w:rsidRPr="004604B6">
        <w:rPr>
          <w:rFonts w:hAnsi="Times New Roman" w:cs="Times New Roman"/>
          <w:color w:val="auto"/>
        </w:rPr>
        <w:t>post-employment</w:t>
      </w:r>
      <w:r w:rsidR="004604B6">
        <w:rPr>
          <w:rFonts w:hAnsi="Times New Roman" w:cs="Times New Roman"/>
          <w:color w:val="auto"/>
        </w:rPr>
        <w:t xml:space="preserve"> period</w:t>
      </w:r>
      <w:r w:rsidR="000F3146">
        <w:rPr>
          <w:rFonts w:hAnsi="Times New Roman" w:cs="Times New Roman"/>
          <w:color w:val="auto"/>
        </w:rPr>
        <w:t xml:space="preserve"> to assign IP ownership back to the firm, as well as </w:t>
      </w:r>
      <w:r w:rsidR="00606688">
        <w:rPr>
          <w:rFonts w:hAnsi="Times New Roman" w:cs="Times New Roman"/>
          <w:color w:val="auto"/>
        </w:rPr>
        <w:t>new</w:t>
      </w:r>
      <w:r w:rsidR="000F3146">
        <w:rPr>
          <w:rFonts w:hAnsi="Times New Roman" w:cs="Times New Roman"/>
          <w:color w:val="auto"/>
        </w:rPr>
        <w:t xml:space="preserve"> legal constructs</w:t>
      </w:r>
      <w:r w:rsidR="00606688">
        <w:rPr>
          <w:rFonts w:hAnsi="Times New Roman" w:cs="Times New Roman"/>
          <w:color w:val="auto"/>
        </w:rPr>
        <w:t>, including</w:t>
      </w:r>
      <w:r w:rsidR="000F3146">
        <w:rPr>
          <w:rFonts w:hAnsi="Times New Roman" w:cs="Times New Roman"/>
          <w:color w:val="auto"/>
        </w:rPr>
        <w:t xml:space="preserve"> the assignor estoppel doctrine, which prevents assignors from challenging </w:t>
      </w:r>
      <w:r w:rsidR="00B74F15">
        <w:rPr>
          <w:rFonts w:hAnsi="Times New Roman" w:cs="Times New Roman"/>
          <w:color w:val="auto"/>
        </w:rPr>
        <w:t xml:space="preserve">the </w:t>
      </w:r>
      <w:r w:rsidR="000F3146">
        <w:rPr>
          <w:rFonts w:hAnsi="Times New Roman" w:cs="Times New Roman"/>
          <w:color w:val="auto"/>
        </w:rPr>
        <w:t>validity</w:t>
      </w:r>
      <w:r w:rsidR="00B74F15">
        <w:rPr>
          <w:rFonts w:hAnsi="Times New Roman" w:cs="Times New Roman"/>
          <w:color w:val="auto"/>
        </w:rPr>
        <w:t xml:space="preserve"> of a patent</w:t>
      </w:r>
      <w:r w:rsidR="005B0D46">
        <w:rPr>
          <w:rFonts w:hAnsi="Times New Roman" w:cs="Times New Roman"/>
          <w:color w:val="auto"/>
        </w:rPr>
        <w:t>. The assignor estoppel doctrine dramatically limits</w:t>
      </w:r>
      <w:r w:rsidR="00606688">
        <w:rPr>
          <w:rFonts w:hAnsi="Times New Roman" w:cs="Times New Roman"/>
          <w:color w:val="auto"/>
        </w:rPr>
        <w:t xml:space="preserve"> the d</w:t>
      </w:r>
      <w:r w:rsidR="00474BB4">
        <w:rPr>
          <w:rFonts w:hAnsi="Times New Roman" w:cs="Times New Roman"/>
          <w:color w:val="auto"/>
        </w:rPr>
        <w:t>efenses</w:t>
      </w:r>
      <w:r w:rsidR="00606688">
        <w:rPr>
          <w:rFonts w:hAnsi="Times New Roman" w:cs="Times New Roman"/>
          <w:color w:val="auto"/>
        </w:rPr>
        <w:t xml:space="preserve"> available to</w:t>
      </w:r>
      <w:r w:rsidR="00701FCD">
        <w:rPr>
          <w:rFonts w:hAnsi="Times New Roman" w:cs="Times New Roman"/>
          <w:color w:val="auto"/>
        </w:rPr>
        <w:t xml:space="preserve"> former employe</w:t>
      </w:r>
      <w:r w:rsidR="00606688">
        <w:rPr>
          <w:rFonts w:hAnsi="Times New Roman" w:cs="Times New Roman"/>
          <w:color w:val="auto"/>
        </w:rPr>
        <w:t>es</w:t>
      </w:r>
      <w:r w:rsidR="00CE5AED">
        <w:rPr>
          <w:rFonts w:hAnsi="Times New Roman" w:cs="Times New Roman"/>
          <w:color w:val="auto"/>
        </w:rPr>
        <w:t xml:space="preserve"> </w:t>
      </w:r>
      <w:r w:rsidR="005B0D46">
        <w:rPr>
          <w:rFonts w:hAnsi="Times New Roman" w:cs="Times New Roman"/>
          <w:color w:val="auto"/>
        </w:rPr>
        <w:t xml:space="preserve">who seek to compete in the industry </w:t>
      </w:r>
      <w:r w:rsidR="00CE5AED">
        <w:rPr>
          <w:rFonts w:hAnsi="Times New Roman" w:cs="Times New Roman"/>
          <w:color w:val="auto"/>
        </w:rPr>
        <w:t>and turn</w:t>
      </w:r>
      <w:r w:rsidR="005B0D46">
        <w:rPr>
          <w:rFonts w:hAnsi="Times New Roman" w:cs="Times New Roman"/>
          <w:color w:val="auto"/>
        </w:rPr>
        <w:t>s these experienced</w:t>
      </w:r>
      <w:r w:rsidR="00DA5185">
        <w:rPr>
          <w:rFonts w:hAnsi="Times New Roman" w:cs="Times New Roman"/>
          <w:color w:val="auto"/>
        </w:rPr>
        <w:t xml:space="preserve"> employees</w:t>
      </w:r>
      <w:r w:rsidR="00CE5AED">
        <w:rPr>
          <w:rFonts w:hAnsi="Times New Roman" w:cs="Times New Roman"/>
          <w:color w:val="auto"/>
        </w:rPr>
        <w:t xml:space="preserve"> into legal liabilities</w:t>
      </w:r>
      <w:r w:rsidR="005B0D46">
        <w:rPr>
          <w:rFonts w:hAnsi="Times New Roman" w:cs="Times New Roman"/>
          <w:color w:val="auto"/>
        </w:rPr>
        <w:t xml:space="preserve"> of the new firms which recruit them</w:t>
      </w:r>
      <w:r w:rsidR="000F3146">
        <w:rPr>
          <w:rFonts w:hAnsi="Times New Roman" w:cs="Times New Roman"/>
          <w:color w:val="auto"/>
        </w:rPr>
        <w:t xml:space="preserve">. </w:t>
      </w:r>
      <w:r w:rsidRPr="00DD1543">
        <w:rPr>
          <w:rFonts w:hAnsi="Times New Roman" w:cs="Times New Roman"/>
          <w:color w:val="auto"/>
        </w:rPr>
        <w:t xml:space="preserve">Third, </w:t>
      </w:r>
      <w:r w:rsidRPr="005B0D46">
        <w:rPr>
          <w:rFonts w:hAnsi="Times New Roman" w:cs="Times New Roman"/>
          <w:i/>
          <w:iCs/>
          <w:color w:val="auto"/>
        </w:rPr>
        <w:t>scope-wise</w:t>
      </w:r>
      <w:r w:rsidRPr="00DD1543">
        <w:rPr>
          <w:rFonts w:hAnsi="Times New Roman" w:cs="Times New Roman"/>
          <w:color w:val="auto"/>
        </w:rPr>
        <w:t xml:space="preserve">, </w:t>
      </w:r>
      <w:r w:rsidR="00324760">
        <w:rPr>
          <w:rFonts w:hAnsi="Times New Roman" w:cs="Times New Roman"/>
          <w:color w:val="auto"/>
        </w:rPr>
        <w:t>recent years have witnessed a</w:t>
      </w:r>
      <w:r w:rsidRPr="00DD1543">
        <w:rPr>
          <w:rFonts w:hAnsi="Times New Roman" w:cs="Times New Roman"/>
          <w:color w:val="auto"/>
        </w:rPr>
        <w:t xml:space="preserve"> colossal rise in the use of non-competes along with a shift from individualized controls to meta-controls</w:t>
      </w:r>
      <w:r w:rsidR="006F3868">
        <w:rPr>
          <w:rFonts w:hAnsi="Times New Roman" w:cs="Times New Roman"/>
          <w:color w:val="auto"/>
        </w:rPr>
        <w:t xml:space="preserve"> -</w:t>
      </w:r>
      <w:r w:rsidRPr="00DD1543">
        <w:rPr>
          <w:rFonts w:hAnsi="Times New Roman" w:cs="Times New Roman"/>
          <w:color w:val="auto"/>
        </w:rPr>
        <w:t xml:space="preserve"> </w:t>
      </w:r>
      <w:r w:rsidRPr="006F3868">
        <w:rPr>
          <w:rFonts w:hAnsi="Times New Roman" w:cs="Times New Roman"/>
          <w:color w:val="auto"/>
        </w:rPr>
        <w:t>cognitive cartels</w:t>
      </w:r>
      <w:r w:rsidR="006F3868">
        <w:rPr>
          <w:rFonts w:hAnsi="Times New Roman" w:cs="Times New Roman"/>
          <w:color w:val="auto"/>
        </w:rPr>
        <w:t xml:space="preserve"> -</w:t>
      </w:r>
      <w:r w:rsidRPr="00DD1543">
        <w:rPr>
          <w:rFonts w:hAnsi="Times New Roman" w:cs="Times New Roman"/>
          <w:color w:val="auto"/>
        </w:rPr>
        <w:t xml:space="preserve"> as evidenced in the </w:t>
      </w:r>
      <w:r w:rsidR="00606688">
        <w:rPr>
          <w:rFonts w:hAnsi="Times New Roman" w:cs="Times New Roman"/>
          <w:color w:val="auto"/>
        </w:rPr>
        <w:t>ongoing</w:t>
      </w:r>
      <w:r w:rsidRPr="00DD1543">
        <w:rPr>
          <w:rFonts w:hAnsi="Times New Roman" w:cs="Times New Roman"/>
          <w:color w:val="auto"/>
        </w:rPr>
        <w:t xml:space="preserve"> antitrust class action suit against Silicon Valley high-tech giants for their no-poaching agreements. </w:t>
      </w:r>
    </w:p>
    <w:p w14:paraId="734D4428" w14:textId="77777777" w:rsidR="00434690" w:rsidRDefault="000734E9" w:rsidP="000734E9">
      <w:pPr>
        <w:pStyle w:val="NormalWeb"/>
        <w:spacing w:after="240"/>
        <w:ind w:firstLine="720"/>
        <w:jc w:val="both"/>
        <w:rPr>
          <w:rFonts w:hAnsi="Times New Roman" w:cs="Times New Roman"/>
          <w:color w:val="auto"/>
        </w:rPr>
      </w:pPr>
      <w:r>
        <w:rPr>
          <w:rFonts w:hAnsi="Times New Roman" w:cs="Times New Roman"/>
          <w:color w:val="auto"/>
        </w:rPr>
        <w:t>Analyzing</w:t>
      </w:r>
      <w:r w:rsidR="002318AA" w:rsidRPr="00DD1543">
        <w:rPr>
          <w:rFonts w:hAnsi="Times New Roman" w:cs="Times New Roman"/>
          <w:color w:val="auto"/>
        </w:rPr>
        <w:t xml:space="preserve"> new empirical research on the nexus between innovation and human capital, Section II </w:t>
      </w:r>
      <w:r w:rsidR="00FB2472">
        <w:rPr>
          <w:rFonts w:hAnsi="Times New Roman" w:cs="Times New Roman"/>
          <w:color w:val="auto"/>
        </w:rPr>
        <w:t xml:space="preserve">uncovers </w:t>
      </w:r>
      <w:r w:rsidR="002318AA" w:rsidRPr="00DD1543">
        <w:rPr>
          <w:rFonts w:hAnsi="Times New Roman" w:cs="Times New Roman"/>
          <w:color w:val="auto"/>
        </w:rPr>
        <w:t>the</w:t>
      </w:r>
      <w:r w:rsidR="00606688">
        <w:rPr>
          <w:rFonts w:hAnsi="Times New Roman" w:cs="Times New Roman"/>
          <w:color w:val="auto"/>
        </w:rPr>
        <w:t xml:space="preserve"> harms of the</w:t>
      </w:r>
      <w:r w:rsidR="002318AA" w:rsidRPr="00DD1543">
        <w:rPr>
          <w:rFonts w:hAnsi="Times New Roman" w:cs="Times New Roman"/>
          <w:color w:val="auto"/>
        </w:rPr>
        <w:t xml:space="preserve"> new cognitive property by </w:t>
      </w:r>
      <w:r w:rsidR="00D938B3">
        <w:rPr>
          <w:rFonts w:hAnsi="Times New Roman" w:cs="Times New Roman"/>
          <w:color w:val="auto"/>
        </w:rPr>
        <w:t>developing</w:t>
      </w:r>
      <w:r w:rsidR="002318AA" w:rsidRPr="00DD1543">
        <w:rPr>
          <w:rFonts w:hAnsi="Times New Roman" w:cs="Times New Roman"/>
          <w:color w:val="auto"/>
        </w:rPr>
        <w:t xml:space="preserve"> a novel taxonomy of different types of knowledge as they relate to human capital flows: tacit, relational, networked, motivational, and disruptive. Each aspect of knowledge helps explain the </w:t>
      </w:r>
      <w:r w:rsidR="008F15A2">
        <w:rPr>
          <w:rFonts w:hAnsi="Times New Roman" w:cs="Times New Roman"/>
          <w:color w:val="auto"/>
        </w:rPr>
        <w:t>various</w:t>
      </w:r>
      <w:r w:rsidR="008F15A2" w:rsidRPr="00DD1543">
        <w:rPr>
          <w:rFonts w:hAnsi="Times New Roman" w:cs="Times New Roman"/>
          <w:color w:val="auto"/>
        </w:rPr>
        <w:t xml:space="preserve"> </w:t>
      </w:r>
      <w:r w:rsidR="002318AA" w:rsidRPr="00DD1543">
        <w:rPr>
          <w:rFonts w:hAnsi="Times New Roman" w:cs="Times New Roman"/>
          <w:color w:val="auto"/>
        </w:rPr>
        <w:t xml:space="preserve">harmful effects of the new cognitive property. </w:t>
      </w:r>
      <w:r w:rsidR="00324760">
        <w:rPr>
          <w:rFonts w:hAnsi="Times New Roman" w:cs="Times New Roman"/>
          <w:color w:val="auto"/>
        </w:rPr>
        <w:t>The section</w:t>
      </w:r>
      <w:r w:rsidR="002318AA" w:rsidRPr="00DD1543">
        <w:rPr>
          <w:rFonts w:hAnsi="Times New Roman" w:cs="Times New Roman"/>
          <w:color w:val="auto"/>
        </w:rPr>
        <w:t xml:space="preserve"> </w:t>
      </w:r>
      <w:r w:rsidR="00324760">
        <w:rPr>
          <w:rFonts w:hAnsi="Times New Roman" w:cs="Times New Roman"/>
          <w:color w:val="auto"/>
        </w:rPr>
        <w:t xml:space="preserve">analyzes </w:t>
      </w:r>
      <w:r w:rsidR="00606688">
        <w:rPr>
          <w:rFonts w:hAnsi="Times New Roman" w:cs="Times New Roman"/>
          <w:color w:val="auto"/>
        </w:rPr>
        <w:t>these effects of contemporary</w:t>
      </w:r>
      <w:r w:rsidR="00324760">
        <w:rPr>
          <w:rFonts w:hAnsi="Times New Roman" w:cs="Times New Roman"/>
          <w:color w:val="auto"/>
        </w:rPr>
        <w:t xml:space="preserve"> human capital law through the lens of</w:t>
      </w:r>
      <w:r w:rsidR="002318AA" w:rsidRPr="00DD1543">
        <w:rPr>
          <w:rFonts w:hAnsi="Times New Roman" w:cs="Times New Roman"/>
          <w:color w:val="auto"/>
        </w:rPr>
        <w:t xml:space="preserve"> </w:t>
      </w:r>
      <w:r w:rsidR="00FB2472">
        <w:rPr>
          <w:rFonts w:hAnsi="Times New Roman" w:cs="Times New Roman"/>
          <w:color w:val="auto"/>
        </w:rPr>
        <w:t>new</w:t>
      </w:r>
      <w:r w:rsidR="002318AA" w:rsidRPr="00DD1543">
        <w:rPr>
          <w:rFonts w:hAnsi="Times New Roman" w:cs="Times New Roman"/>
          <w:color w:val="auto"/>
        </w:rPr>
        <w:t xml:space="preserve"> economic </w:t>
      </w:r>
      <w:r w:rsidR="00324760">
        <w:rPr>
          <w:rFonts w:hAnsi="Times New Roman" w:cs="Times New Roman"/>
          <w:color w:val="auto"/>
        </w:rPr>
        <w:t>research</w:t>
      </w:r>
      <w:r w:rsidR="002318AA" w:rsidRPr="00DD1543">
        <w:rPr>
          <w:rFonts w:hAnsi="Times New Roman" w:cs="Times New Roman"/>
          <w:color w:val="auto"/>
        </w:rPr>
        <w:t xml:space="preserve"> about endogenous growth</w:t>
      </w:r>
      <w:r w:rsidR="00324760">
        <w:rPr>
          <w:rFonts w:hAnsi="Times New Roman" w:cs="Times New Roman"/>
          <w:color w:val="auto"/>
        </w:rPr>
        <w:t>, labor market search, and innovation networks, demonstrating the extent to which</w:t>
      </w:r>
      <w:r w:rsidR="002318AA" w:rsidRPr="00DD1543">
        <w:rPr>
          <w:rFonts w:hAnsi="Times New Roman" w:cs="Times New Roman"/>
          <w:color w:val="auto"/>
        </w:rPr>
        <w:t xml:space="preserve"> </w:t>
      </w:r>
      <w:r w:rsidR="00324760">
        <w:rPr>
          <w:rFonts w:hAnsi="Times New Roman" w:cs="Times New Roman"/>
          <w:color w:val="auto"/>
        </w:rPr>
        <w:t>markets</w:t>
      </w:r>
      <w:r w:rsidR="002318AA" w:rsidRPr="00DD1543">
        <w:rPr>
          <w:rFonts w:hAnsi="Times New Roman" w:cs="Times New Roman"/>
          <w:color w:val="auto"/>
        </w:rPr>
        <w:t xml:space="preserve"> benefit from continuous investment in shared cognitive capital. </w:t>
      </w:r>
      <w:r w:rsidR="005925E2">
        <w:rPr>
          <w:rFonts w:hAnsi="Times New Roman" w:cs="Times New Roman"/>
          <w:color w:val="auto"/>
        </w:rPr>
        <w:t xml:space="preserve">Section III argues that the rise in </w:t>
      </w:r>
      <w:r w:rsidR="00A512F5">
        <w:rPr>
          <w:rFonts w:hAnsi="Times New Roman" w:cs="Times New Roman"/>
          <w:color w:val="auto"/>
        </w:rPr>
        <w:t xml:space="preserve">cognitive </w:t>
      </w:r>
      <w:r w:rsidR="005925E2">
        <w:rPr>
          <w:rFonts w:hAnsi="Times New Roman" w:cs="Times New Roman"/>
          <w:color w:val="auto"/>
        </w:rPr>
        <w:t>controls should be understood a</w:t>
      </w:r>
      <w:r w:rsidR="00A512F5">
        <w:rPr>
          <w:rFonts w:hAnsi="Times New Roman" w:cs="Times New Roman"/>
          <w:color w:val="auto"/>
        </w:rPr>
        <w:t xml:space="preserve">s the Third Enclosure Movement, turning human capital and </w:t>
      </w:r>
      <w:r w:rsidR="00A512F5" w:rsidRPr="00E8368E">
        <w:rPr>
          <w:rFonts w:hAnsi="Times New Roman" w:cs="Times New Roman"/>
          <w:color w:val="auto"/>
        </w:rPr>
        <w:t>intangibles of the</w:t>
      </w:r>
      <w:r w:rsidR="00A512F5">
        <w:rPr>
          <w:rFonts w:hAnsi="Times New Roman" w:cs="Times New Roman"/>
          <w:color w:val="auto"/>
        </w:rPr>
        <w:t xml:space="preserve"> mind</w:t>
      </w:r>
      <w:r w:rsidR="00FB2472">
        <w:rPr>
          <w:rFonts w:hAnsi="Times New Roman" w:cs="Times New Roman"/>
          <w:color w:val="auto"/>
        </w:rPr>
        <w:t xml:space="preserve"> -</w:t>
      </w:r>
      <w:r w:rsidR="00A512F5" w:rsidRPr="00E8368E">
        <w:rPr>
          <w:rFonts w:hAnsi="Times New Roman" w:cs="Times New Roman"/>
          <w:color w:val="auto"/>
        </w:rPr>
        <w:t xml:space="preserve"> knowledge, experience, </w:t>
      </w:r>
      <w:r w:rsidR="00A512F5">
        <w:rPr>
          <w:rFonts w:hAnsi="Times New Roman" w:cs="Times New Roman"/>
          <w:color w:val="auto"/>
        </w:rPr>
        <w:t xml:space="preserve">skill, creativity, and network </w:t>
      </w:r>
      <w:r w:rsidR="00FB2472">
        <w:rPr>
          <w:rFonts w:hAnsi="Times New Roman" w:cs="Times New Roman"/>
          <w:color w:val="auto"/>
        </w:rPr>
        <w:t xml:space="preserve">- </w:t>
      </w:r>
      <w:r w:rsidR="00A512F5">
        <w:rPr>
          <w:rFonts w:hAnsi="Times New Roman" w:cs="Times New Roman"/>
          <w:color w:val="auto"/>
        </w:rPr>
        <w:t>into property</w:t>
      </w:r>
      <w:r w:rsidR="00B24F70">
        <w:rPr>
          <w:rFonts w:hAnsi="Times New Roman" w:cs="Times New Roman"/>
          <w:color w:val="auto"/>
        </w:rPr>
        <w:t>,</w:t>
      </w:r>
      <w:r w:rsidR="00FB2472">
        <w:rPr>
          <w:rFonts w:hAnsi="Times New Roman" w:cs="Times New Roman"/>
          <w:color w:val="auto"/>
        </w:rPr>
        <w:t xml:space="preserve"> with </w:t>
      </w:r>
      <w:r w:rsidR="005925E2">
        <w:rPr>
          <w:rFonts w:hAnsi="Times New Roman" w:cs="Times New Roman"/>
          <w:color w:val="auto"/>
        </w:rPr>
        <w:t xml:space="preserve">detrimental </w:t>
      </w:r>
      <w:r w:rsidR="009F33B0">
        <w:rPr>
          <w:rFonts w:hAnsi="Times New Roman" w:cs="Times New Roman"/>
          <w:color w:val="auto"/>
        </w:rPr>
        <w:t xml:space="preserve">effects </w:t>
      </w:r>
      <w:r w:rsidR="005925E2">
        <w:rPr>
          <w:rFonts w:hAnsi="Times New Roman" w:cs="Times New Roman"/>
          <w:color w:val="auto"/>
        </w:rPr>
        <w:t>on the public domain</w:t>
      </w:r>
      <w:r w:rsidR="00A512F5">
        <w:rPr>
          <w:rFonts w:hAnsi="Times New Roman" w:cs="Times New Roman"/>
          <w:color w:val="auto"/>
        </w:rPr>
        <w:t xml:space="preserve">. </w:t>
      </w:r>
      <w:r w:rsidR="00434690">
        <w:rPr>
          <w:rFonts w:hAnsi="Times New Roman" w:cs="Times New Roman"/>
          <w:color w:val="auto"/>
        </w:rPr>
        <w:t xml:space="preserve">The section explains these developments in relation to the ongoing shift in viewing IP through the lens of antitrust to the lens of property. The expanding lens of property into the intangibles of the mind has now reached the next frontier, enclosing not merely innovation but the potential for innovation. </w:t>
      </w:r>
      <w:r w:rsidR="00A512F5">
        <w:rPr>
          <w:rFonts w:hAnsi="Times New Roman" w:cs="Times New Roman"/>
          <w:color w:val="auto"/>
        </w:rPr>
        <w:t>The section</w:t>
      </w:r>
      <w:r w:rsidR="00434690">
        <w:rPr>
          <w:rFonts w:hAnsi="Times New Roman" w:cs="Times New Roman"/>
          <w:color w:val="auto"/>
        </w:rPr>
        <w:t xml:space="preserve"> further</w:t>
      </w:r>
      <w:r w:rsidR="00A512F5">
        <w:rPr>
          <w:rFonts w:hAnsi="Times New Roman" w:cs="Times New Roman"/>
          <w:color w:val="auto"/>
        </w:rPr>
        <w:t xml:space="preserve"> </w:t>
      </w:r>
      <w:r w:rsidR="00434690">
        <w:rPr>
          <w:rFonts w:hAnsi="Times New Roman" w:cs="Times New Roman"/>
          <w:color w:val="auto"/>
        </w:rPr>
        <w:t>shows</w:t>
      </w:r>
      <w:r w:rsidR="008E5014">
        <w:rPr>
          <w:rFonts w:hAnsi="Times New Roman" w:cs="Times New Roman"/>
          <w:color w:val="auto"/>
        </w:rPr>
        <w:t xml:space="preserve"> how </w:t>
      </w:r>
      <w:r w:rsidR="00A512F5">
        <w:rPr>
          <w:rFonts w:hAnsi="Times New Roman" w:cs="Times New Roman"/>
          <w:color w:val="auto"/>
        </w:rPr>
        <w:t xml:space="preserve">regions </w:t>
      </w:r>
      <w:r w:rsidR="003A7129">
        <w:rPr>
          <w:rFonts w:hAnsi="Times New Roman" w:cs="Times New Roman"/>
          <w:color w:val="auto"/>
        </w:rPr>
        <w:t>that promote employee mobility</w:t>
      </w:r>
      <w:r w:rsidR="00A512F5">
        <w:rPr>
          <w:rFonts w:hAnsi="Times New Roman" w:cs="Times New Roman"/>
          <w:color w:val="auto"/>
        </w:rPr>
        <w:t xml:space="preserve"> encourage </w:t>
      </w:r>
      <w:r w:rsidR="00434690">
        <w:rPr>
          <w:rFonts w:hAnsi="Times New Roman" w:cs="Times New Roman"/>
          <w:color w:val="auto"/>
        </w:rPr>
        <w:t>positive</w:t>
      </w:r>
      <w:r w:rsidR="00A512F5">
        <w:rPr>
          <w:rFonts w:hAnsi="Times New Roman" w:cs="Times New Roman"/>
          <w:color w:val="auto"/>
        </w:rPr>
        <w:t xml:space="preserve"> spillovers and densification of knowledge networks</w:t>
      </w:r>
      <w:r w:rsidR="00434690">
        <w:rPr>
          <w:rFonts w:hAnsi="Times New Roman" w:cs="Times New Roman"/>
          <w:color w:val="auto"/>
        </w:rPr>
        <w:t>, which</w:t>
      </w:r>
      <w:r w:rsidR="00A512F5">
        <w:rPr>
          <w:rFonts w:hAnsi="Times New Roman" w:cs="Times New Roman"/>
          <w:color w:val="auto"/>
        </w:rPr>
        <w:t xml:space="preserve"> lead to economic growth</w:t>
      </w:r>
      <w:r w:rsidR="00ED145F">
        <w:rPr>
          <w:rFonts w:hAnsi="Times New Roman" w:cs="Times New Roman"/>
          <w:color w:val="auto"/>
        </w:rPr>
        <w:t xml:space="preserve"> and innovation</w:t>
      </w:r>
      <w:r w:rsidR="00A512F5">
        <w:rPr>
          <w:rFonts w:hAnsi="Times New Roman" w:cs="Times New Roman"/>
          <w:color w:val="auto"/>
        </w:rPr>
        <w:t>, and conversely how regions that restrict employee mo</w:t>
      </w:r>
      <w:r w:rsidR="00093D51">
        <w:rPr>
          <w:rFonts w:hAnsi="Times New Roman" w:cs="Times New Roman"/>
          <w:color w:val="auto"/>
        </w:rPr>
        <w:t xml:space="preserve">bility stifle growth. </w:t>
      </w:r>
      <w:r w:rsidR="00434690">
        <w:rPr>
          <w:rFonts w:hAnsi="Times New Roman" w:cs="Times New Roman"/>
          <w:color w:val="auto"/>
        </w:rPr>
        <w:t>Finally, t</w:t>
      </w:r>
      <w:r w:rsidR="00A23392">
        <w:rPr>
          <w:rFonts w:hAnsi="Times New Roman" w:cs="Times New Roman"/>
          <w:color w:val="auto"/>
        </w:rPr>
        <w:t>he section demonstrates how the threat of</w:t>
      </w:r>
      <w:r w:rsidR="00A512F5">
        <w:rPr>
          <w:rFonts w:hAnsi="Times New Roman" w:cs="Times New Roman"/>
          <w:color w:val="auto"/>
        </w:rPr>
        <w:t xml:space="preserve"> litigation</w:t>
      </w:r>
      <w:r w:rsidR="003F2911">
        <w:rPr>
          <w:rFonts w:hAnsi="Times New Roman" w:cs="Times New Roman"/>
          <w:color w:val="auto"/>
        </w:rPr>
        <w:t xml:space="preserve"> diminish</w:t>
      </w:r>
      <w:r w:rsidR="00A23392">
        <w:rPr>
          <w:rFonts w:hAnsi="Times New Roman" w:cs="Times New Roman"/>
          <w:color w:val="auto"/>
        </w:rPr>
        <w:t>es the quality of</w:t>
      </w:r>
      <w:r w:rsidR="003F2911">
        <w:rPr>
          <w:rFonts w:hAnsi="Times New Roman" w:cs="Times New Roman"/>
          <w:color w:val="auto"/>
        </w:rPr>
        <w:t xml:space="preserve"> human capital</w:t>
      </w:r>
      <w:r w:rsidR="00A512F5">
        <w:rPr>
          <w:rFonts w:hAnsi="Times New Roman" w:cs="Times New Roman"/>
          <w:color w:val="auto"/>
        </w:rPr>
        <w:t xml:space="preserve"> </w:t>
      </w:r>
      <w:r w:rsidR="00111E81">
        <w:rPr>
          <w:rFonts w:hAnsi="Times New Roman" w:cs="Times New Roman"/>
          <w:color w:val="auto"/>
        </w:rPr>
        <w:t xml:space="preserve">and </w:t>
      </w:r>
      <w:r w:rsidR="00A512F5">
        <w:rPr>
          <w:rFonts w:hAnsi="Times New Roman" w:cs="Times New Roman"/>
          <w:color w:val="auto"/>
        </w:rPr>
        <w:t>encourag</w:t>
      </w:r>
      <w:r w:rsidR="00A23392">
        <w:rPr>
          <w:rFonts w:hAnsi="Times New Roman" w:cs="Times New Roman"/>
          <w:color w:val="auto"/>
        </w:rPr>
        <w:t xml:space="preserve">es </w:t>
      </w:r>
      <w:r w:rsidR="00A512F5">
        <w:rPr>
          <w:rFonts w:hAnsi="Times New Roman" w:cs="Times New Roman"/>
          <w:color w:val="auto"/>
        </w:rPr>
        <w:t>companies to hire employees</w:t>
      </w:r>
      <w:r w:rsidR="00A36AA8">
        <w:rPr>
          <w:rFonts w:hAnsi="Times New Roman" w:cs="Times New Roman"/>
          <w:color w:val="auto"/>
        </w:rPr>
        <w:t xml:space="preserve"> with no experience</w:t>
      </w:r>
      <w:r w:rsidR="00A512F5">
        <w:rPr>
          <w:rFonts w:hAnsi="Times New Roman" w:cs="Times New Roman"/>
          <w:color w:val="auto"/>
        </w:rPr>
        <w:t xml:space="preserve"> rather than seasoned employees</w:t>
      </w:r>
      <w:r w:rsidR="00093D51">
        <w:rPr>
          <w:rFonts w:hAnsi="Times New Roman" w:cs="Times New Roman"/>
          <w:color w:val="auto"/>
        </w:rPr>
        <w:t xml:space="preserve">. </w:t>
      </w:r>
      <w:r w:rsidR="00434690">
        <w:rPr>
          <w:rFonts w:hAnsi="Times New Roman" w:cs="Times New Roman"/>
          <w:color w:val="auto"/>
        </w:rPr>
        <w:t xml:space="preserve">The new cognitive property </w:t>
      </w:r>
      <w:r w:rsidR="00E37239">
        <w:rPr>
          <w:rFonts w:hAnsi="Times New Roman" w:cs="Times New Roman"/>
          <w:color w:val="auto"/>
        </w:rPr>
        <w:t>benefits incumbent firms with superior resources and chills new market entry. The article concludes with a call to reform h</w:t>
      </w:r>
      <w:r w:rsidR="00A512F5">
        <w:rPr>
          <w:rFonts w:hAnsi="Times New Roman" w:cs="Times New Roman"/>
          <w:color w:val="auto"/>
        </w:rPr>
        <w:t>uman capital</w:t>
      </w:r>
      <w:r w:rsidR="00E37239">
        <w:rPr>
          <w:rFonts w:hAnsi="Times New Roman" w:cs="Times New Roman"/>
          <w:color w:val="auto"/>
        </w:rPr>
        <w:t xml:space="preserve"> law </w:t>
      </w:r>
      <w:r w:rsidR="002B74A9">
        <w:rPr>
          <w:rFonts w:hAnsi="Times New Roman" w:cs="Times New Roman"/>
          <w:color w:val="auto"/>
        </w:rPr>
        <w:t xml:space="preserve">from a nebulous set of harmful doctrines to a body of law committed to the promotion of innovation, knowledge flow, and economic growth. </w:t>
      </w:r>
    </w:p>
    <w:p w14:paraId="763CACBC" w14:textId="77777777" w:rsidR="007F1F19" w:rsidRPr="00DD1543" w:rsidRDefault="007F1F19">
      <w:pPr>
        <w:rPr>
          <w:rFonts w:hAnsi="Times New Roman" w:cs="Times New Roman"/>
          <w:color w:val="auto"/>
        </w:rPr>
      </w:pPr>
    </w:p>
    <w:p w14:paraId="10BBB265" w14:textId="77777777" w:rsidR="007F1F19" w:rsidRPr="00DD1543" w:rsidRDefault="002318AA" w:rsidP="0003477F">
      <w:pPr>
        <w:pStyle w:val="Heading1"/>
        <w:jc w:val="both"/>
        <w:rPr>
          <w:color w:val="auto"/>
        </w:rPr>
      </w:pPr>
      <w:bookmarkStart w:id="3" w:name="_Toc399167384"/>
      <w:r w:rsidRPr="00DD1543">
        <w:rPr>
          <w:color w:val="auto"/>
        </w:rPr>
        <w:lastRenderedPageBreak/>
        <w:t xml:space="preserve">I. </w:t>
      </w:r>
      <w:r w:rsidR="0003477F">
        <w:rPr>
          <w:color w:val="auto"/>
        </w:rPr>
        <w:t>Erecting</w:t>
      </w:r>
      <w:r w:rsidRPr="00DD1543">
        <w:rPr>
          <w:color w:val="auto"/>
        </w:rPr>
        <w:t xml:space="preserve"> Cognitive Fences: From Outputs to Inputs</w:t>
      </w:r>
      <w:bookmarkEnd w:id="3"/>
    </w:p>
    <w:p w14:paraId="0BB7772E" w14:textId="77777777" w:rsidR="007F1F19" w:rsidRPr="00DD1543" w:rsidRDefault="007F1F19">
      <w:pPr>
        <w:rPr>
          <w:rFonts w:hAnsi="Times New Roman" w:cs="Times New Roman"/>
          <w:color w:val="auto"/>
        </w:rPr>
      </w:pPr>
    </w:p>
    <w:p w14:paraId="1863D2D1" w14:textId="77777777" w:rsidR="00C6515A" w:rsidRPr="00121D12" w:rsidRDefault="00C6515A" w:rsidP="00C6515A">
      <w:pPr>
        <w:pStyle w:val="Heading2"/>
        <w:numPr>
          <w:ilvl w:val="1"/>
          <w:numId w:val="9"/>
        </w:numPr>
        <w:jc w:val="both"/>
        <w:rPr>
          <w:rFonts w:eastAsia="Times New Roman Bold"/>
        </w:rPr>
      </w:pPr>
      <w:bookmarkStart w:id="4" w:name="_Toc399167385"/>
      <w:r>
        <w:rPr>
          <w:rFonts w:eastAsia="Times New Roman Bold"/>
        </w:rPr>
        <w:t>Human Capital Law and the Knowledge Economy</w:t>
      </w:r>
      <w:bookmarkEnd w:id="4"/>
    </w:p>
    <w:p w14:paraId="489B4AC1" w14:textId="77777777" w:rsidR="007F1F19" w:rsidRPr="00DD1543" w:rsidRDefault="007F1F19">
      <w:pPr>
        <w:pStyle w:val="Heading2"/>
        <w:ind w:firstLine="0"/>
        <w:jc w:val="both"/>
        <w:rPr>
          <w:color w:val="auto"/>
        </w:rPr>
      </w:pPr>
    </w:p>
    <w:p w14:paraId="088FBC1D" w14:textId="77777777" w:rsidR="007F1F19" w:rsidRPr="00DD1543" w:rsidRDefault="002318AA" w:rsidP="00437FA0">
      <w:pPr>
        <w:pStyle w:val="NormalWeb"/>
        <w:spacing w:after="240"/>
        <w:ind w:firstLine="720"/>
        <w:jc w:val="both"/>
        <w:rPr>
          <w:rFonts w:hAnsi="Times New Roman" w:cs="Times New Roman"/>
          <w:color w:val="auto"/>
        </w:rPr>
      </w:pPr>
      <w:r w:rsidRPr="00DD1543">
        <w:rPr>
          <w:rFonts w:hAnsi="Times New Roman" w:cs="Times New Roman"/>
          <w:color w:val="auto"/>
        </w:rPr>
        <w:t xml:space="preserve">In the past two decades, scholars from a wide variety of disciplines have warned against the over-expansion of knowledge controls through intellectual property policy. The debate surrounding the effects of </w:t>
      </w:r>
      <w:r w:rsidR="00437FA0">
        <w:rPr>
          <w:rFonts w:hAnsi="Times New Roman" w:cs="Times New Roman"/>
          <w:color w:val="auto"/>
        </w:rPr>
        <w:t>IP</w:t>
      </w:r>
      <w:r w:rsidRPr="00DD1543">
        <w:rPr>
          <w:rFonts w:hAnsi="Times New Roman" w:cs="Times New Roman"/>
          <w:color w:val="auto"/>
        </w:rPr>
        <w:t xml:space="preserve"> laws on inventive activity and technological progress is enduring and lively. At the same time, the field of human capital – at the intersection between </w:t>
      </w:r>
      <w:r w:rsidR="00B22191">
        <w:rPr>
          <w:rFonts w:hAnsi="Times New Roman" w:cs="Times New Roman"/>
          <w:color w:val="auto"/>
        </w:rPr>
        <w:t>IP</w:t>
      </w:r>
      <w:r w:rsidRPr="00DD1543">
        <w:rPr>
          <w:rFonts w:hAnsi="Times New Roman" w:cs="Times New Roman"/>
          <w:color w:val="auto"/>
        </w:rPr>
        <w:t xml:space="preserve"> law, contract law, employment law, and antitrust – has been relatively neglected and presents </w:t>
      </w:r>
      <w:r w:rsidR="005925E2">
        <w:rPr>
          <w:rFonts w:hAnsi="Times New Roman" w:cs="Times New Roman"/>
          <w:color w:val="auto"/>
        </w:rPr>
        <w:t xml:space="preserve">urgent and </w:t>
      </w:r>
      <w:r w:rsidRPr="00DD1543">
        <w:rPr>
          <w:rFonts w:hAnsi="Times New Roman" w:cs="Times New Roman"/>
          <w:color w:val="auto"/>
        </w:rPr>
        <w:t xml:space="preserve">fertile grounds for important </w:t>
      </w:r>
      <w:r w:rsidR="0027015F" w:rsidRPr="00DD1543">
        <w:rPr>
          <w:rFonts w:hAnsi="Times New Roman" w:cs="Times New Roman"/>
          <w:color w:val="auto"/>
        </w:rPr>
        <w:t>inquir</w:t>
      </w:r>
      <w:r w:rsidR="005925E2">
        <w:rPr>
          <w:rFonts w:hAnsi="Times New Roman" w:cs="Times New Roman"/>
          <w:color w:val="auto"/>
        </w:rPr>
        <w:t>y</w:t>
      </w:r>
      <w:r w:rsidR="0027015F" w:rsidRPr="00DD1543">
        <w:rPr>
          <w:rFonts w:hAnsi="Times New Roman" w:cs="Times New Roman"/>
          <w:color w:val="auto"/>
        </w:rPr>
        <w:t xml:space="preserve"> </w:t>
      </w:r>
      <w:r w:rsidRPr="00DD1543">
        <w:rPr>
          <w:rFonts w:hAnsi="Times New Roman" w:cs="Times New Roman"/>
          <w:color w:val="auto"/>
        </w:rPr>
        <w:t>on how knowledge is created, owned, distributed, and shared in contemporary economies. A closer look at human capital law reveals a dangerous expansion of controls over cognitive capacities, far beyond the bargain struck in intellectual property law.</w:t>
      </w:r>
    </w:p>
    <w:p w14:paraId="0D304A87" w14:textId="7800E8F2" w:rsidR="00B22191" w:rsidRDefault="002318AA" w:rsidP="005925E2">
      <w:pPr>
        <w:pStyle w:val="NormalWeb"/>
        <w:spacing w:after="240"/>
        <w:ind w:firstLine="720"/>
        <w:jc w:val="both"/>
        <w:rPr>
          <w:rFonts w:hAnsi="Times New Roman" w:cs="Times New Roman"/>
          <w:color w:val="auto"/>
        </w:rPr>
      </w:pPr>
      <w:r w:rsidRPr="00DD1543">
        <w:rPr>
          <w:rFonts w:hAnsi="Times New Roman" w:cs="Times New Roman"/>
          <w:color w:val="auto"/>
        </w:rPr>
        <w:t>Nobel Laureate Elinor Ostrom, who pioneered research on economic governance, described knowledge as “a shared resource, a complex ecosystem that is a commons—a resource shared by a group of people that is subject to social dilemmas.”</w:t>
      </w:r>
      <w:r w:rsidRPr="00DD1543">
        <w:rPr>
          <w:rFonts w:hAnsi="Times New Roman" w:cs="Times New Roman"/>
          <w:color w:val="auto"/>
          <w:vertAlign w:val="superscript"/>
        </w:rPr>
        <w:footnoteReference w:id="8"/>
      </w:r>
      <w:r w:rsidR="0027015F">
        <w:rPr>
          <w:rFonts w:hAnsi="Times New Roman" w:cs="Times New Roman"/>
          <w:color w:val="auto"/>
        </w:rPr>
        <w:t xml:space="preserve"> </w:t>
      </w:r>
      <w:r w:rsidRPr="00DD1543">
        <w:rPr>
          <w:rFonts w:hAnsi="Times New Roman" w:cs="Times New Roman"/>
          <w:color w:val="auto"/>
        </w:rPr>
        <w:t>Ostrom defined knowledge as all intelligible ideas, information, and data.</w:t>
      </w:r>
      <w:r w:rsidR="00B22191">
        <w:rPr>
          <w:rFonts w:hAnsi="Times New Roman" w:cs="Times New Roman"/>
          <w:color w:val="auto"/>
        </w:rPr>
        <w:t xml:space="preserve"> While Ostrom viewed knowledge as a shared resource, IP recognizes some forms of knowledge as privately owned.</w:t>
      </w:r>
      <w:r w:rsidR="005925E2">
        <w:rPr>
          <w:rFonts w:hAnsi="Times New Roman" w:cs="Times New Roman"/>
          <w:color w:val="auto"/>
        </w:rPr>
        <w:t xml:space="preserve"> This</w:t>
      </w:r>
      <w:r w:rsidRPr="00DD1543">
        <w:rPr>
          <w:rFonts w:hAnsi="Times New Roman" w:cs="Times New Roman"/>
          <w:color w:val="auto"/>
        </w:rPr>
        <w:t xml:space="preserve"> legal conceptualization of knowledge as property is a </w:t>
      </w:r>
      <w:r w:rsidR="0027015F">
        <w:rPr>
          <w:rFonts w:hAnsi="Times New Roman" w:cs="Times New Roman"/>
          <w:color w:val="auto"/>
        </w:rPr>
        <w:t>fairly</w:t>
      </w:r>
      <w:r w:rsidR="0027015F" w:rsidRPr="00DD1543">
        <w:rPr>
          <w:rFonts w:hAnsi="Times New Roman" w:cs="Times New Roman"/>
          <w:color w:val="auto"/>
        </w:rPr>
        <w:t xml:space="preserve"> </w:t>
      </w:r>
      <w:r w:rsidRPr="00DD1543">
        <w:rPr>
          <w:rFonts w:hAnsi="Times New Roman" w:cs="Times New Roman"/>
          <w:color w:val="auto"/>
        </w:rPr>
        <w:t>recent d</w:t>
      </w:r>
      <w:r w:rsidR="005925E2">
        <w:rPr>
          <w:rFonts w:hAnsi="Times New Roman" w:cs="Times New Roman"/>
          <w:color w:val="auto"/>
        </w:rPr>
        <w:t xml:space="preserve">evelopment, reaching its dominance </w:t>
      </w:r>
      <w:r w:rsidR="00B22191" w:rsidRPr="00DD1543">
        <w:rPr>
          <w:rFonts w:hAnsi="Times New Roman" w:cs="Times New Roman"/>
          <w:color w:val="auto"/>
        </w:rPr>
        <w:t>around the world</w:t>
      </w:r>
      <w:r w:rsidR="005925E2">
        <w:rPr>
          <w:rFonts w:hAnsi="Times New Roman" w:cs="Times New Roman"/>
          <w:color w:val="auto"/>
        </w:rPr>
        <w:t xml:space="preserve"> only in the past century</w:t>
      </w:r>
      <w:r w:rsidR="00B22191">
        <w:rPr>
          <w:rFonts w:hAnsi="Times New Roman" w:cs="Times New Roman"/>
          <w:color w:val="auto"/>
        </w:rPr>
        <w:t>.</w:t>
      </w:r>
      <w:r w:rsidR="00E40228">
        <w:rPr>
          <w:rStyle w:val="FootnoteReference"/>
          <w:rFonts w:hAnsi="Times New Roman" w:cs="Times New Roman"/>
          <w:color w:val="auto"/>
        </w:rPr>
        <w:footnoteReference w:id="9"/>
      </w:r>
      <w:r w:rsidR="00B22191">
        <w:rPr>
          <w:rFonts w:hAnsi="Times New Roman" w:cs="Times New Roman"/>
          <w:color w:val="auto"/>
        </w:rPr>
        <w:t xml:space="preserve"> </w:t>
      </w:r>
      <w:r w:rsidRPr="00DD1543">
        <w:rPr>
          <w:rFonts w:hAnsi="Times New Roman" w:cs="Times New Roman"/>
          <w:color w:val="auto"/>
        </w:rPr>
        <w:t>In ancient times, there was little formal protection for intangible goods. Over time</w:t>
      </w:r>
      <w:r w:rsidR="00DD24F9">
        <w:rPr>
          <w:rFonts w:hAnsi="Times New Roman" w:cs="Times New Roman"/>
          <w:color w:val="auto"/>
        </w:rPr>
        <w:t>,</w:t>
      </w:r>
      <w:r w:rsidRPr="00DD1543">
        <w:rPr>
          <w:rFonts w:hAnsi="Times New Roman" w:cs="Times New Roman"/>
          <w:color w:val="auto"/>
        </w:rPr>
        <w:t xml:space="preserve"> and </w:t>
      </w:r>
      <w:r w:rsidR="001A6A92">
        <w:rPr>
          <w:rFonts w:hAnsi="Times New Roman" w:cs="Times New Roman"/>
          <w:color w:val="auto"/>
        </w:rPr>
        <w:t>most dramatically</w:t>
      </w:r>
      <w:r w:rsidR="0027015F">
        <w:rPr>
          <w:rFonts w:hAnsi="Times New Roman" w:cs="Times New Roman"/>
          <w:color w:val="auto"/>
        </w:rPr>
        <w:t xml:space="preserve"> </w:t>
      </w:r>
      <w:r w:rsidRPr="00DD1543">
        <w:rPr>
          <w:rFonts w:hAnsi="Times New Roman" w:cs="Times New Roman"/>
          <w:color w:val="auto"/>
        </w:rPr>
        <w:t>in the past</w:t>
      </w:r>
      <w:r w:rsidR="001A6A92">
        <w:rPr>
          <w:rFonts w:hAnsi="Times New Roman" w:cs="Times New Roman"/>
          <w:color w:val="auto"/>
        </w:rPr>
        <w:t xml:space="preserve"> few decades</w:t>
      </w:r>
      <w:r w:rsidRPr="00DD1543">
        <w:rPr>
          <w:rFonts w:hAnsi="Times New Roman" w:cs="Times New Roman"/>
          <w:color w:val="auto"/>
        </w:rPr>
        <w:t>, notions over ownership of information and knowledge have</w:t>
      </w:r>
      <w:r w:rsidR="00B22191">
        <w:rPr>
          <w:rFonts w:hAnsi="Times New Roman" w:cs="Times New Roman"/>
          <w:color w:val="auto"/>
        </w:rPr>
        <w:t xml:space="preserve"> significantly</w:t>
      </w:r>
      <w:r w:rsidRPr="00DD1543">
        <w:rPr>
          <w:rFonts w:hAnsi="Times New Roman" w:cs="Times New Roman"/>
          <w:color w:val="auto"/>
        </w:rPr>
        <w:t xml:space="preserve"> evolved. </w:t>
      </w:r>
      <w:r w:rsidR="00F408CA">
        <w:rPr>
          <w:rFonts w:hAnsi="Times New Roman" w:cs="Times New Roman"/>
          <w:color w:val="auto"/>
        </w:rPr>
        <w:t>Th</w:t>
      </w:r>
      <w:r w:rsidR="00EC1009">
        <w:rPr>
          <w:rFonts w:hAnsi="Times New Roman" w:cs="Times New Roman"/>
          <w:color w:val="auto"/>
        </w:rPr>
        <w:t>e term intellectual property</w:t>
      </w:r>
      <w:r w:rsidR="000A150F">
        <w:rPr>
          <w:rFonts w:hAnsi="Times New Roman" w:cs="Times New Roman"/>
          <w:color w:val="auto"/>
        </w:rPr>
        <w:t xml:space="preserve"> itself</w:t>
      </w:r>
      <w:r w:rsidR="00EC1009">
        <w:rPr>
          <w:rFonts w:hAnsi="Times New Roman" w:cs="Times New Roman"/>
          <w:color w:val="auto"/>
        </w:rPr>
        <w:t xml:space="preserve"> did not become prevalent until the late 20</w:t>
      </w:r>
      <w:r w:rsidR="00EC1009" w:rsidRPr="00A40A70">
        <w:rPr>
          <w:rFonts w:hAnsi="Times New Roman" w:cs="Times New Roman"/>
          <w:color w:val="auto"/>
          <w:vertAlign w:val="superscript"/>
        </w:rPr>
        <w:t>th</w:t>
      </w:r>
      <w:r w:rsidR="00EC1009">
        <w:rPr>
          <w:rFonts w:hAnsi="Times New Roman" w:cs="Times New Roman"/>
          <w:color w:val="auto"/>
        </w:rPr>
        <w:t xml:space="preserve"> century.</w:t>
      </w:r>
      <w:r w:rsidRPr="00DD1543">
        <w:rPr>
          <w:rFonts w:hAnsi="Times New Roman" w:cs="Times New Roman"/>
          <w:color w:val="auto"/>
          <w:vertAlign w:val="superscript"/>
        </w:rPr>
        <w:footnoteReference w:id="10"/>
      </w:r>
      <w:r w:rsidR="0027015F">
        <w:rPr>
          <w:rFonts w:hAnsi="Times New Roman" w:cs="Times New Roman"/>
          <w:color w:val="auto"/>
        </w:rPr>
        <w:t xml:space="preserve"> </w:t>
      </w:r>
    </w:p>
    <w:p w14:paraId="10A7D40B" w14:textId="77777777" w:rsidR="007F1F19" w:rsidRPr="00DD1543" w:rsidRDefault="002318AA" w:rsidP="00FB41FF">
      <w:pPr>
        <w:pStyle w:val="NormalWeb"/>
        <w:spacing w:after="240"/>
        <w:ind w:firstLine="720"/>
        <w:jc w:val="both"/>
        <w:rPr>
          <w:rFonts w:hAnsi="Times New Roman" w:cs="Times New Roman"/>
          <w:color w:val="auto"/>
        </w:rPr>
      </w:pPr>
      <w:r w:rsidRPr="00FF29AD">
        <w:rPr>
          <w:rFonts w:hAnsi="Times New Roman" w:cs="Times New Roman"/>
          <w:color w:val="auto"/>
        </w:rPr>
        <w:t xml:space="preserve">The drive to control information through legal tools is </w:t>
      </w:r>
      <w:r w:rsidR="00B22191">
        <w:rPr>
          <w:rFonts w:hAnsi="Times New Roman" w:cs="Times New Roman"/>
          <w:color w:val="auto"/>
        </w:rPr>
        <w:t>obvious</w:t>
      </w:r>
      <w:r w:rsidRPr="00FF29AD">
        <w:rPr>
          <w:rFonts w:hAnsi="Times New Roman" w:cs="Times New Roman"/>
          <w:color w:val="auto"/>
        </w:rPr>
        <w:t>: in its unregulated state, information travels quickly</w:t>
      </w:r>
      <w:r w:rsidR="00C44E66" w:rsidRPr="00FF29AD">
        <w:rPr>
          <w:rFonts w:hAnsi="Times New Roman" w:cs="Times New Roman"/>
          <w:color w:val="auto"/>
        </w:rPr>
        <w:t>.</w:t>
      </w:r>
      <w:r w:rsidR="0027015F">
        <w:rPr>
          <w:rFonts w:hAnsi="Times New Roman" w:cs="Times New Roman"/>
          <w:color w:val="auto"/>
        </w:rPr>
        <w:t xml:space="preserve"> </w:t>
      </w:r>
      <w:r w:rsidRPr="00FF29AD">
        <w:rPr>
          <w:rFonts w:hAnsi="Times New Roman" w:cs="Times New Roman"/>
          <w:color w:val="auto"/>
        </w:rPr>
        <w:t>Knowledge is, by its very nature, a public good</w:t>
      </w:r>
      <w:r w:rsidR="00FF29AD" w:rsidRPr="00FF29AD">
        <w:rPr>
          <w:rFonts w:hAnsi="Times New Roman" w:cs="Times New Roman"/>
          <w:color w:val="auto"/>
        </w:rPr>
        <w:t>, and it expands and multiplies without running out.</w:t>
      </w:r>
      <w:r w:rsidRPr="00FF29AD">
        <w:rPr>
          <w:rFonts w:hAnsi="Times New Roman" w:cs="Times New Roman"/>
          <w:color w:val="auto"/>
        </w:rPr>
        <w:t xml:space="preserve"> Without effort, ideas flow freely. </w:t>
      </w:r>
      <w:r w:rsidRPr="00DD1543">
        <w:rPr>
          <w:rFonts w:hAnsi="Times New Roman" w:cs="Times New Roman"/>
          <w:color w:val="auto"/>
        </w:rPr>
        <w:t xml:space="preserve">Thomas Jefferson viewed the free spread of </w:t>
      </w:r>
      <w:r w:rsidRPr="00DD1543">
        <w:rPr>
          <w:rFonts w:hAnsi="Times New Roman" w:cs="Times New Roman"/>
          <w:color w:val="auto"/>
        </w:rPr>
        <w:lastRenderedPageBreak/>
        <w:t>ideas, “over the globe, for the moral and mutual instruction of man, and improvement of his conditions” as akin to air and fire:</w:t>
      </w:r>
    </w:p>
    <w:p w14:paraId="117E69EA" w14:textId="77777777" w:rsidR="007F1F19" w:rsidRPr="00DD1543" w:rsidRDefault="002318AA">
      <w:pPr>
        <w:pStyle w:val="NormalWeb"/>
        <w:spacing w:after="240"/>
        <w:ind w:left="720"/>
        <w:jc w:val="both"/>
        <w:rPr>
          <w:rFonts w:hAnsi="Times New Roman" w:cs="Times New Roman"/>
          <w:color w:val="auto"/>
        </w:rPr>
      </w:pPr>
      <w:r w:rsidRPr="00DD1543">
        <w:rPr>
          <w:rFonts w:hAnsi="Times New Roman" w:cs="Times New Roman"/>
          <w:color w:val="auto"/>
        </w:rPr>
        <w:t>[Ideas are] peculiarly and benevolently designed by nature, when she made them, like fire, expandable over all space, without lessening their density in any point, and like the air in which we breathe, move, and have our physical being, incapable of confinement or exclusive appropriation.</w:t>
      </w:r>
      <w:r w:rsidRPr="00DD1543">
        <w:rPr>
          <w:rFonts w:hAnsi="Times New Roman" w:cs="Times New Roman"/>
          <w:color w:val="auto"/>
          <w:vertAlign w:val="superscript"/>
        </w:rPr>
        <w:footnoteReference w:id="11"/>
      </w:r>
    </w:p>
    <w:p w14:paraId="39B1E729" w14:textId="36A5BDFF" w:rsidR="00E81935" w:rsidRPr="00DD1543" w:rsidRDefault="0027015F" w:rsidP="00E40228">
      <w:pPr>
        <w:pStyle w:val="NormalWeb"/>
        <w:spacing w:after="240"/>
        <w:ind w:firstLine="720"/>
        <w:jc w:val="both"/>
        <w:rPr>
          <w:rFonts w:hAnsi="Times New Roman" w:cs="Times New Roman"/>
          <w:color w:val="auto"/>
        </w:rPr>
      </w:pPr>
      <w:r>
        <w:rPr>
          <w:rFonts w:hAnsi="Times New Roman" w:cs="Times New Roman"/>
          <w:color w:val="auto"/>
        </w:rPr>
        <w:t>Yet</w:t>
      </w:r>
      <w:r w:rsidR="002318AA" w:rsidRPr="00DD1543">
        <w:rPr>
          <w:rFonts w:hAnsi="Times New Roman" w:cs="Times New Roman"/>
          <w:color w:val="auto"/>
        </w:rPr>
        <w:t xml:space="preserve">, </w:t>
      </w:r>
      <w:r w:rsidR="00E14287" w:rsidRPr="00DD1543">
        <w:rPr>
          <w:rFonts w:hAnsi="Times New Roman" w:cs="Times New Roman"/>
          <w:color w:val="auto"/>
        </w:rPr>
        <w:t xml:space="preserve">especially in recent years </w:t>
      </w:r>
      <w:r w:rsidR="001A6A92">
        <w:rPr>
          <w:rFonts w:hAnsi="Times New Roman" w:cs="Times New Roman"/>
          <w:color w:val="auto"/>
        </w:rPr>
        <w:t>with the</w:t>
      </w:r>
      <w:r w:rsidR="00B72675">
        <w:rPr>
          <w:rFonts w:hAnsi="Times New Roman" w:cs="Times New Roman"/>
          <w:color w:val="auto"/>
        </w:rPr>
        <w:t xml:space="preserve"> shift from an industrial economy to a knowledge and service based economy</w:t>
      </w:r>
      <w:r w:rsidR="00F04738">
        <w:rPr>
          <w:rFonts w:hAnsi="Times New Roman" w:cs="Times New Roman"/>
          <w:color w:val="auto"/>
        </w:rPr>
        <w:t xml:space="preserve">, </w:t>
      </w:r>
      <w:r w:rsidR="00F04738" w:rsidRPr="00DD1543">
        <w:rPr>
          <w:rFonts w:hAnsi="Times New Roman" w:cs="Times New Roman"/>
          <w:color w:val="auto"/>
        </w:rPr>
        <w:t>ideas have enormous commercial value</w:t>
      </w:r>
      <w:r w:rsidR="002318AA" w:rsidRPr="00DD1543">
        <w:rPr>
          <w:rFonts w:hAnsi="Times New Roman" w:cs="Times New Roman"/>
          <w:color w:val="auto"/>
        </w:rPr>
        <w:t xml:space="preserve">. For this reason, over the </w:t>
      </w:r>
      <w:r w:rsidR="00F04738">
        <w:rPr>
          <w:rFonts w:hAnsi="Times New Roman" w:cs="Times New Roman"/>
          <w:color w:val="auto"/>
        </w:rPr>
        <w:t>past few decades</w:t>
      </w:r>
      <w:r w:rsidR="002318AA" w:rsidRPr="00DD1543">
        <w:rPr>
          <w:rFonts w:hAnsi="Times New Roman" w:cs="Times New Roman"/>
          <w:color w:val="auto"/>
        </w:rPr>
        <w:t xml:space="preserve">, </w:t>
      </w:r>
      <w:r w:rsidR="00F04738">
        <w:rPr>
          <w:rFonts w:hAnsi="Times New Roman" w:cs="Times New Roman"/>
          <w:color w:val="auto"/>
        </w:rPr>
        <w:t>IP</w:t>
      </w:r>
      <w:r w:rsidR="002318AA" w:rsidRPr="00DD1543">
        <w:rPr>
          <w:rFonts w:hAnsi="Times New Roman" w:cs="Times New Roman"/>
          <w:color w:val="auto"/>
        </w:rPr>
        <w:t xml:space="preserve"> rights have expanded in length of protection, subject matter, and scope.</w:t>
      </w:r>
      <w:r w:rsidR="002318AA" w:rsidRPr="00DD1543">
        <w:rPr>
          <w:rFonts w:hAnsi="Times New Roman" w:cs="Times New Roman"/>
          <w:color w:val="auto"/>
          <w:vertAlign w:val="superscript"/>
        </w:rPr>
        <w:footnoteReference w:id="12"/>
      </w:r>
      <w:r w:rsidR="002318AA" w:rsidRPr="00DD1543">
        <w:rPr>
          <w:rFonts w:hAnsi="Times New Roman" w:cs="Times New Roman"/>
          <w:color w:val="auto"/>
        </w:rPr>
        <w:t xml:space="preserve"> Patent eligibility has expanded to new categories, such as computer software, business methods, and genetically modified organisms.</w:t>
      </w:r>
      <w:r w:rsidR="002318AA" w:rsidRPr="00DD1543">
        <w:rPr>
          <w:rFonts w:hAnsi="Times New Roman" w:cs="Times New Roman"/>
          <w:color w:val="auto"/>
          <w:vertAlign w:val="superscript"/>
        </w:rPr>
        <w:footnoteReference w:id="13"/>
      </w:r>
      <w:r w:rsidR="002318AA" w:rsidRPr="00DD1543">
        <w:rPr>
          <w:rFonts w:hAnsi="Times New Roman" w:cs="Times New Roman"/>
          <w:color w:val="auto"/>
        </w:rPr>
        <w:t xml:space="preserve"> </w:t>
      </w:r>
      <w:r>
        <w:rPr>
          <w:rFonts w:hAnsi="Times New Roman" w:cs="Times New Roman"/>
          <w:color w:val="auto"/>
        </w:rPr>
        <w:t>Lawmakers have expanded and lengthened c</w:t>
      </w:r>
      <w:r w:rsidR="002318AA" w:rsidRPr="00DD1543">
        <w:rPr>
          <w:rFonts w:hAnsi="Times New Roman" w:cs="Times New Roman"/>
          <w:color w:val="auto"/>
        </w:rPr>
        <w:t>opyright protections.</w:t>
      </w:r>
      <w:r w:rsidR="002318AA" w:rsidRPr="00DD1543">
        <w:rPr>
          <w:rFonts w:hAnsi="Times New Roman" w:cs="Times New Roman"/>
          <w:color w:val="auto"/>
          <w:vertAlign w:val="superscript"/>
        </w:rPr>
        <w:footnoteReference w:id="14"/>
      </w:r>
      <w:r w:rsidR="002318AA" w:rsidRPr="00DD1543">
        <w:rPr>
          <w:rFonts w:hAnsi="Times New Roman" w:cs="Times New Roman"/>
          <w:color w:val="auto"/>
        </w:rPr>
        <w:t xml:space="preserve"> Trademark law now protects the value of the brand </w:t>
      </w:r>
      <w:r w:rsidR="00707275">
        <w:rPr>
          <w:rFonts w:hAnsi="Times New Roman" w:cs="Times New Roman"/>
          <w:color w:val="auto"/>
        </w:rPr>
        <w:t xml:space="preserve">beyond the logo and </w:t>
      </w:r>
      <w:r w:rsidR="002318AA" w:rsidRPr="00DD1543">
        <w:rPr>
          <w:rFonts w:hAnsi="Times New Roman" w:cs="Times New Roman"/>
          <w:color w:val="auto"/>
        </w:rPr>
        <w:t>beyond</w:t>
      </w:r>
      <w:r w:rsidR="00707275">
        <w:rPr>
          <w:rFonts w:hAnsi="Times New Roman" w:cs="Times New Roman"/>
          <w:color w:val="auto"/>
        </w:rPr>
        <w:t xml:space="preserve"> the original purpose of preventing</w:t>
      </w:r>
      <w:r w:rsidR="002318AA" w:rsidRPr="00DD1543">
        <w:rPr>
          <w:rFonts w:hAnsi="Times New Roman" w:cs="Times New Roman"/>
          <w:color w:val="auto"/>
        </w:rPr>
        <w:t xml:space="preserve"> consumer confusion.</w:t>
      </w:r>
      <w:r w:rsidR="002318AA" w:rsidRPr="00DD1543">
        <w:rPr>
          <w:rFonts w:hAnsi="Times New Roman" w:cs="Times New Roman"/>
          <w:color w:val="auto"/>
          <w:vertAlign w:val="superscript"/>
        </w:rPr>
        <w:footnoteReference w:id="15"/>
      </w:r>
      <w:r w:rsidR="002318AA" w:rsidRPr="00DD1543">
        <w:rPr>
          <w:rFonts w:hAnsi="Times New Roman" w:cs="Times New Roman"/>
          <w:color w:val="auto"/>
        </w:rPr>
        <w:t xml:space="preserve"> Trade secret</w:t>
      </w:r>
      <w:r w:rsidR="002A7F37">
        <w:rPr>
          <w:rFonts w:hAnsi="Times New Roman" w:cs="Times New Roman"/>
          <w:color w:val="auto"/>
        </w:rPr>
        <w:t xml:space="preserve"> law</w:t>
      </w:r>
      <w:r w:rsidR="002318AA" w:rsidRPr="00DD1543">
        <w:rPr>
          <w:rFonts w:hAnsi="Times New Roman" w:cs="Times New Roman"/>
          <w:color w:val="auto"/>
        </w:rPr>
        <w:t xml:space="preserve"> span</w:t>
      </w:r>
      <w:r w:rsidR="002A7F37">
        <w:rPr>
          <w:rFonts w:hAnsi="Times New Roman" w:cs="Times New Roman"/>
          <w:color w:val="auto"/>
        </w:rPr>
        <w:t>s</w:t>
      </w:r>
      <w:r w:rsidR="002318AA" w:rsidRPr="00DD1543">
        <w:rPr>
          <w:rFonts w:hAnsi="Times New Roman" w:cs="Times New Roman"/>
          <w:color w:val="auto"/>
        </w:rPr>
        <w:t xml:space="preserve"> new subject matters and modes of infringement.</w:t>
      </w:r>
      <w:r w:rsidR="002318AA" w:rsidRPr="00DD1543">
        <w:rPr>
          <w:rFonts w:hAnsi="Times New Roman" w:cs="Times New Roman"/>
          <w:color w:val="auto"/>
          <w:vertAlign w:val="superscript"/>
        </w:rPr>
        <w:footnoteReference w:id="16"/>
      </w:r>
      <w:r w:rsidR="002318AA" w:rsidRPr="00DD1543">
        <w:rPr>
          <w:rFonts w:hAnsi="Times New Roman" w:cs="Times New Roman"/>
          <w:color w:val="auto"/>
        </w:rPr>
        <w:t xml:space="preserve"> </w:t>
      </w:r>
      <w:r w:rsidR="00707275">
        <w:rPr>
          <w:rFonts w:hAnsi="Times New Roman" w:cs="Times New Roman"/>
          <w:color w:val="auto"/>
        </w:rPr>
        <w:t>Together, this body of law</w:t>
      </w:r>
      <w:r w:rsidR="002318AA" w:rsidRPr="00DD1543">
        <w:rPr>
          <w:rFonts w:hAnsi="Times New Roman" w:cs="Times New Roman"/>
          <w:color w:val="auto"/>
        </w:rPr>
        <w:t xml:space="preserve"> has been hailed “the foundation of the modern information economy: it fuels the software, life sciences, and computer industries, and pervades most of the products we consume.”</w:t>
      </w:r>
      <w:r w:rsidR="002318AA" w:rsidRPr="00DD1543">
        <w:rPr>
          <w:rFonts w:hAnsi="Times New Roman" w:cs="Times New Roman"/>
          <w:color w:val="auto"/>
          <w:vertAlign w:val="superscript"/>
        </w:rPr>
        <w:footnoteReference w:id="17"/>
      </w:r>
      <w:r w:rsidR="002318AA" w:rsidRPr="00DD1543">
        <w:rPr>
          <w:rFonts w:hAnsi="Times New Roman" w:cs="Times New Roman"/>
          <w:color w:val="auto"/>
        </w:rPr>
        <w:t xml:space="preserve"> But as the scope of IP protection </w:t>
      </w:r>
      <w:r w:rsidR="00D06B08">
        <w:rPr>
          <w:rFonts w:hAnsi="Times New Roman" w:cs="Times New Roman"/>
          <w:color w:val="auto"/>
        </w:rPr>
        <w:t>has expanded</w:t>
      </w:r>
      <w:r w:rsidR="002318AA" w:rsidRPr="00DD1543">
        <w:rPr>
          <w:rFonts w:hAnsi="Times New Roman" w:cs="Times New Roman"/>
          <w:color w:val="auto"/>
        </w:rPr>
        <w:t xml:space="preserve">, the field has also become one of the most contested areas of policy. From music </w:t>
      </w:r>
      <w:r w:rsidR="002318AA" w:rsidRPr="00DD1543">
        <w:rPr>
          <w:rFonts w:hAnsi="Times New Roman" w:cs="Times New Roman"/>
          <w:color w:val="auto"/>
        </w:rPr>
        <w:lastRenderedPageBreak/>
        <w:t xml:space="preserve">file sharing to </w:t>
      </w:r>
      <w:r w:rsidR="00707275">
        <w:rPr>
          <w:rFonts w:hAnsi="Times New Roman" w:cs="Times New Roman"/>
          <w:color w:val="auto"/>
        </w:rPr>
        <w:t xml:space="preserve">broadcasting, from </w:t>
      </w:r>
      <w:r w:rsidR="002318AA" w:rsidRPr="00DD1543">
        <w:rPr>
          <w:rFonts w:hAnsi="Times New Roman" w:cs="Times New Roman"/>
          <w:color w:val="auto"/>
        </w:rPr>
        <w:t>drugs for AIDS</w:t>
      </w:r>
      <w:r w:rsidR="00707275">
        <w:rPr>
          <w:rFonts w:hAnsi="Times New Roman" w:cs="Times New Roman"/>
          <w:color w:val="auto"/>
        </w:rPr>
        <w:t xml:space="preserve"> to patent trolls</w:t>
      </w:r>
      <w:r w:rsidR="002318AA" w:rsidRPr="00DD1543">
        <w:rPr>
          <w:rFonts w:hAnsi="Times New Roman" w:cs="Times New Roman"/>
          <w:color w:val="auto"/>
        </w:rPr>
        <w:t>, “the intellectual property wars are on.”</w:t>
      </w:r>
      <w:r w:rsidR="002318AA" w:rsidRPr="00DD1543">
        <w:rPr>
          <w:rFonts w:hAnsi="Times New Roman" w:cs="Times New Roman"/>
          <w:color w:val="auto"/>
          <w:vertAlign w:val="superscript"/>
        </w:rPr>
        <w:footnoteReference w:id="18"/>
      </w:r>
    </w:p>
    <w:p w14:paraId="78FDEFBA" w14:textId="61934F55" w:rsidR="007F1F19" w:rsidRPr="00FB41FF" w:rsidRDefault="0086341F" w:rsidP="0086341F">
      <w:pPr>
        <w:spacing w:after="240"/>
        <w:ind w:firstLine="0"/>
        <w:rPr>
          <w:rFonts w:ascii="Times" w:eastAsia="Times New Roman" w:hAnsi="Times" w:cs="Times New Roman"/>
          <w:color w:val="auto"/>
          <w:sz w:val="20"/>
          <w:szCs w:val="20"/>
          <w:bdr w:val="none" w:sz="0" w:space="0" w:color="auto"/>
        </w:rPr>
      </w:pPr>
      <w:r>
        <w:rPr>
          <w:rFonts w:hAnsi="Times New Roman" w:cs="Times New Roman"/>
          <w:color w:val="auto"/>
        </w:rPr>
        <w:tab/>
      </w:r>
      <w:r w:rsidR="002318AA" w:rsidRPr="00DD1543">
        <w:rPr>
          <w:rFonts w:hAnsi="Times New Roman" w:cs="Times New Roman"/>
          <w:color w:val="auto"/>
        </w:rPr>
        <w:t>The fierce battl</w:t>
      </w:r>
      <w:r w:rsidR="00707275">
        <w:rPr>
          <w:rFonts w:hAnsi="Times New Roman" w:cs="Times New Roman"/>
          <w:color w:val="auto"/>
        </w:rPr>
        <w:t>es over the proper</w:t>
      </w:r>
      <w:r w:rsidR="002318AA" w:rsidRPr="00DD1543">
        <w:rPr>
          <w:rFonts w:hAnsi="Times New Roman" w:cs="Times New Roman"/>
          <w:color w:val="auto"/>
        </w:rPr>
        <w:t xml:space="preserve"> scope of </w:t>
      </w:r>
      <w:r w:rsidR="00707275">
        <w:rPr>
          <w:rFonts w:hAnsi="Times New Roman" w:cs="Times New Roman"/>
          <w:color w:val="auto"/>
        </w:rPr>
        <w:t>IP</w:t>
      </w:r>
      <w:r w:rsidR="002318AA" w:rsidRPr="00DD1543">
        <w:rPr>
          <w:rFonts w:hAnsi="Times New Roman" w:cs="Times New Roman"/>
          <w:color w:val="auto"/>
        </w:rPr>
        <w:t xml:space="preserve"> law raise questions about the costs and benefits of controlling knowledge and the distributional effects of the current legal regime. IP rights </w:t>
      </w:r>
      <w:r w:rsidR="007C2F61">
        <w:rPr>
          <w:rFonts w:hAnsi="Times New Roman" w:cs="Times New Roman"/>
          <w:color w:val="auto"/>
        </w:rPr>
        <w:t>are generally understood as</w:t>
      </w:r>
      <w:r w:rsidR="002318AA" w:rsidRPr="00DD1543">
        <w:rPr>
          <w:rFonts w:hAnsi="Times New Roman" w:cs="Times New Roman"/>
          <w:color w:val="auto"/>
        </w:rPr>
        <w:t xml:space="preserve"> a</w:t>
      </w:r>
      <w:r w:rsidR="004F68AA">
        <w:rPr>
          <w:rFonts w:hAnsi="Times New Roman" w:cs="Times New Roman"/>
          <w:color w:val="auto"/>
        </w:rPr>
        <w:t xml:space="preserve"> “carefully crafted bargain.”</w:t>
      </w:r>
      <w:r w:rsidR="007C2F61" w:rsidRPr="00DD1543">
        <w:rPr>
          <w:rFonts w:hAnsi="Times New Roman" w:cs="Times New Roman"/>
          <w:color w:val="auto"/>
          <w:vertAlign w:val="superscript"/>
        </w:rPr>
        <w:footnoteReference w:id="19"/>
      </w:r>
      <w:r w:rsidR="00F63AE9">
        <w:rPr>
          <w:rFonts w:hAnsi="Times New Roman" w:cs="Times New Roman"/>
          <w:color w:val="auto"/>
        </w:rPr>
        <w:t xml:space="preserve"> </w:t>
      </w:r>
      <w:r w:rsidR="007C2F61">
        <w:rPr>
          <w:rFonts w:hAnsi="Times New Roman" w:cs="Times New Roman"/>
          <w:color w:val="auto"/>
        </w:rPr>
        <w:t xml:space="preserve">The bargain is </w:t>
      </w:r>
      <w:r w:rsidR="002318AA" w:rsidRPr="00DD1543">
        <w:rPr>
          <w:rFonts w:hAnsi="Times New Roman" w:cs="Times New Roman"/>
          <w:color w:val="auto"/>
        </w:rPr>
        <w:t>quid pro quo: inputs to innovation are rewarded with exclusivity over certain outputs of innovation for a limited time. The prevailing consensus is that IP protections themselves are mostly harmful, but the incentive</w:t>
      </w:r>
      <w:r w:rsidR="00A43A65">
        <w:rPr>
          <w:rFonts w:hAnsi="Times New Roman" w:cs="Times New Roman"/>
          <w:color w:val="auto"/>
        </w:rPr>
        <w:t xml:space="preserve"> system</w:t>
      </w:r>
      <w:r w:rsidR="002318AA" w:rsidRPr="00DD1543">
        <w:rPr>
          <w:rFonts w:hAnsi="Times New Roman" w:cs="Times New Roman"/>
          <w:color w:val="auto"/>
        </w:rPr>
        <w:t xml:space="preserve"> </w:t>
      </w:r>
      <w:r w:rsidR="00FC1BC3">
        <w:rPr>
          <w:rFonts w:hAnsi="Times New Roman" w:cs="Times New Roman"/>
          <w:color w:val="auto"/>
        </w:rPr>
        <w:t>they create</w:t>
      </w:r>
      <w:r w:rsidR="002318AA" w:rsidRPr="00DD1543">
        <w:rPr>
          <w:rFonts w:hAnsi="Times New Roman" w:cs="Times New Roman"/>
          <w:color w:val="auto"/>
        </w:rPr>
        <w:t xml:space="preserve"> </w:t>
      </w:r>
      <w:r w:rsidR="00A43A65">
        <w:rPr>
          <w:rFonts w:hAnsi="Times New Roman" w:cs="Times New Roman"/>
          <w:color w:val="auto"/>
        </w:rPr>
        <w:t>is</w:t>
      </w:r>
      <w:r w:rsidR="002318AA" w:rsidRPr="00DD1543">
        <w:rPr>
          <w:rFonts w:hAnsi="Times New Roman" w:cs="Times New Roman"/>
          <w:color w:val="auto"/>
        </w:rPr>
        <w:t xml:space="preserve"> valuable. In other words, IP</w:t>
      </w:r>
      <w:r w:rsidR="00B22475">
        <w:rPr>
          <w:rFonts w:hAnsi="Times New Roman" w:cs="Times New Roman"/>
          <w:color w:val="auto"/>
        </w:rPr>
        <w:t xml:space="preserve"> law</w:t>
      </w:r>
      <w:r w:rsidR="002318AA" w:rsidRPr="00DD1543">
        <w:rPr>
          <w:rFonts w:hAnsi="Times New Roman" w:cs="Times New Roman"/>
          <w:color w:val="auto"/>
        </w:rPr>
        <w:t xml:space="preserve"> is a necessary evil: it promotes innovation by creating a </w:t>
      </w:r>
      <w:r w:rsidR="007D6D05" w:rsidRPr="00DD1543">
        <w:rPr>
          <w:rFonts w:hAnsi="Times New Roman" w:cs="Times New Roman"/>
          <w:color w:val="auto"/>
        </w:rPr>
        <w:t xml:space="preserve">temporary </w:t>
      </w:r>
      <w:r w:rsidR="002318AA" w:rsidRPr="00DD1543">
        <w:rPr>
          <w:rFonts w:hAnsi="Times New Roman" w:cs="Times New Roman"/>
          <w:color w:val="auto"/>
        </w:rPr>
        <w:t>monopoly.</w:t>
      </w:r>
      <w:r w:rsidR="002318AA" w:rsidRPr="00DD1543">
        <w:rPr>
          <w:rFonts w:hAnsi="Times New Roman" w:cs="Times New Roman"/>
          <w:color w:val="auto"/>
          <w:vertAlign w:val="superscript"/>
        </w:rPr>
        <w:footnoteReference w:id="20"/>
      </w:r>
      <w:r w:rsidR="007C2F61">
        <w:rPr>
          <w:rFonts w:hAnsi="Times New Roman" w:cs="Times New Roman"/>
          <w:color w:val="auto"/>
        </w:rPr>
        <w:t xml:space="preserve"> </w:t>
      </w:r>
      <w:r w:rsidR="002318AA" w:rsidRPr="00DD1543">
        <w:rPr>
          <w:rFonts w:hAnsi="Times New Roman" w:cs="Times New Roman"/>
          <w:color w:val="auto"/>
        </w:rPr>
        <w:t>The debates normally surround the scope of enclosure and the limits of this necessary evil.</w:t>
      </w:r>
      <w:r w:rsidR="002318AA" w:rsidRPr="00DD1543">
        <w:rPr>
          <w:rFonts w:hAnsi="Times New Roman" w:cs="Times New Roman"/>
          <w:color w:val="auto"/>
          <w:vertAlign w:val="superscript"/>
        </w:rPr>
        <w:footnoteReference w:id="21"/>
      </w:r>
      <w:r w:rsidR="002318AA" w:rsidRPr="00DD1543">
        <w:rPr>
          <w:rFonts w:hAnsi="Times New Roman" w:cs="Times New Roman"/>
          <w:color w:val="auto"/>
        </w:rPr>
        <w:t xml:space="preserve"> Increasingly, scholars believe that the contours of this bargain have exceeded their limits. A decade ago, a group of scholars and activists denounced “excessive, unbalanced, or poorly designed intellectual property protections” when they drafted an open letter to the Director General of the World Intellectual Property Organization.</w:t>
      </w:r>
      <w:r w:rsidR="002318AA" w:rsidRPr="00DD1543">
        <w:rPr>
          <w:rFonts w:hAnsi="Times New Roman" w:cs="Times New Roman"/>
          <w:color w:val="auto"/>
          <w:vertAlign w:val="superscript"/>
        </w:rPr>
        <w:footnoteReference w:id="22"/>
      </w:r>
      <w:r w:rsidR="002318AA" w:rsidRPr="00DD1543">
        <w:rPr>
          <w:rFonts w:hAnsi="Times New Roman" w:cs="Times New Roman"/>
          <w:color w:val="auto"/>
        </w:rPr>
        <w:t xml:space="preserve"> The letter called for updated approaches to knowledge building and sharing. Since then, the quest to reach the right balance between public domain and intellectual property protections has only intensified. In March 2013</w:t>
      </w:r>
      <w:r w:rsidR="00FD1F3C">
        <w:rPr>
          <w:rFonts w:hAnsi="Times New Roman" w:cs="Times New Roman"/>
          <w:color w:val="auto"/>
        </w:rPr>
        <w:t>,</w:t>
      </w:r>
      <w:r w:rsidR="002318AA" w:rsidRPr="00DD1543">
        <w:rPr>
          <w:rFonts w:hAnsi="Times New Roman" w:cs="Times New Roman"/>
          <w:color w:val="auto"/>
        </w:rPr>
        <w:t xml:space="preserve"> the central provisions of the American Invents Act, the first major patent law reform since 1952</w:t>
      </w:r>
      <w:r w:rsidR="00545E11">
        <w:rPr>
          <w:rFonts w:hAnsi="Times New Roman" w:cs="Times New Roman"/>
          <w:color w:val="auto"/>
        </w:rPr>
        <w:t>, went into effect</w:t>
      </w:r>
      <w:r w:rsidR="002318AA" w:rsidRPr="00DD1543">
        <w:rPr>
          <w:rFonts w:hAnsi="Times New Roman" w:cs="Times New Roman"/>
          <w:color w:val="auto"/>
        </w:rPr>
        <w:t>.</w:t>
      </w:r>
      <w:r w:rsidR="002318AA" w:rsidRPr="00DD1543">
        <w:rPr>
          <w:rFonts w:hAnsi="Times New Roman" w:cs="Times New Roman"/>
          <w:color w:val="auto"/>
          <w:vertAlign w:val="superscript"/>
        </w:rPr>
        <w:footnoteReference w:id="23"/>
      </w:r>
      <w:r w:rsidR="002318AA" w:rsidRPr="00DD1543">
        <w:rPr>
          <w:rFonts w:hAnsi="Times New Roman" w:cs="Times New Roman"/>
          <w:color w:val="auto"/>
        </w:rPr>
        <w:t xml:space="preserve"> Currently, several major </w:t>
      </w:r>
      <w:r w:rsidR="00A43A65">
        <w:rPr>
          <w:rFonts w:hAnsi="Times New Roman" w:cs="Times New Roman"/>
          <w:color w:val="auto"/>
        </w:rPr>
        <w:t>patent, trade secrets, and copyright</w:t>
      </w:r>
      <w:r w:rsidR="002318AA" w:rsidRPr="00DD1543">
        <w:rPr>
          <w:rFonts w:hAnsi="Times New Roman" w:cs="Times New Roman"/>
          <w:color w:val="auto"/>
        </w:rPr>
        <w:t xml:space="preserve"> reform bills are before Congress.</w:t>
      </w:r>
      <w:r w:rsidR="002318AA" w:rsidRPr="00DD1543">
        <w:rPr>
          <w:rFonts w:hAnsi="Times New Roman" w:cs="Times New Roman"/>
          <w:color w:val="auto"/>
          <w:vertAlign w:val="superscript"/>
        </w:rPr>
        <w:footnoteReference w:id="24"/>
      </w:r>
    </w:p>
    <w:p w14:paraId="40E2989F" w14:textId="56354BD5" w:rsidR="002653BC" w:rsidRPr="00DD1543" w:rsidRDefault="002318AA" w:rsidP="00A43A65">
      <w:pPr>
        <w:ind w:firstLine="720"/>
        <w:rPr>
          <w:rFonts w:hAnsi="Times New Roman" w:cs="Times New Roman"/>
          <w:color w:val="auto"/>
        </w:rPr>
      </w:pPr>
      <w:r w:rsidRPr="00DD1543">
        <w:rPr>
          <w:rFonts w:hAnsi="Times New Roman" w:cs="Times New Roman"/>
          <w:color w:val="auto"/>
        </w:rPr>
        <w:lastRenderedPageBreak/>
        <w:t xml:space="preserve">While the scope of intellectual property has triggered lively </w:t>
      </w:r>
      <w:r w:rsidR="002A7F37">
        <w:rPr>
          <w:rFonts w:hAnsi="Times New Roman" w:cs="Times New Roman"/>
          <w:color w:val="auto"/>
        </w:rPr>
        <w:t>disputes</w:t>
      </w:r>
      <w:r w:rsidR="002A7F37" w:rsidRPr="00DD1543">
        <w:rPr>
          <w:rFonts w:hAnsi="Times New Roman" w:cs="Times New Roman"/>
          <w:color w:val="auto"/>
        </w:rPr>
        <w:t xml:space="preserve"> </w:t>
      </w:r>
      <w:r w:rsidRPr="00DD1543">
        <w:rPr>
          <w:rFonts w:hAnsi="Times New Roman" w:cs="Times New Roman"/>
          <w:color w:val="auto"/>
        </w:rPr>
        <w:t>and exchanges as well as intense ongoing efforts by legislatures and courts to strike the right balance, these debates have overshadowed a deeper expansion into the world of intangible goods. Under the radar, excessive, unbalanced</w:t>
      </w:r>
      <w:r w:rsidR="00F67DC9">
        <w:rPr>
          <w:rFonts w:hAnsi="Times New Roman" w:cs="Times New Roman"/>
          <w:color w:val="auto"/>
        </w:rPr>
        <w:t>,</w:t>
      </w:r>
      <w:r w:rsidRPr="00DD1543">
        <w:rPr>
          <w:rFonts w:hAnsi="Times New Roman" w:cs="Times New Roman"/>
          <w:color w:val="auto"/>
        </w:rPr>
        <w:t xml:space="preserve"> and poorly designed (to borrow the language of the WIPO letter) human capital controls have wildly expanded</w:t>
      </w:r>
      <w:r w:rsidR="002A7F37">
        <w:rPr>
          <w:rFonts w:hAnsi="Times New Roman" w:cs="Times New Roman"/>
          <w:color w:val="auto"/>
        </w:rPr>
        <w:t xml:space="preserve"> </w:t>
      </w:r>
      <w:r w:rsidR="006C377C">
        <w:rPr>
          <w:rFonts w:hAnsi="Times New Roman" w:cs="Times New Roman"/>
          <w:color w:val="auto"/>
        </w:rPr>
        <w:t>and</w:t>
      </w:r>
      <w:r w:rsidR="00F67DC9">
        <w:rPr>
          <w:rFonts w:hAnsi="Times New Roman" w:cs="Times New Roman"/>
          <w:color w:val="auto"/>
        </w:rPr>
        <w:t xml:space="preserve"> are widespread in almost every industry</w:t>
      </w:r>
      <w:r w:rsidRPr="00DD1543">
        <w:rPr>
          <w:rFonts w:hAnsi="Times New Roman" w:cs="Times New Roman"/>
          <w:color w:val="auto"/>
        </w:rPr>
        <w:t>.</w:t>
      </w:r>
      <w:r w:rsidR="006C377C">
        <w:rPr>
          <w:rStyle w:val="FootnoteReference"/>
          <w:rFonts w:hAnsi="Times New Roman" w:cs="Times New Roman"/>
          <w:color w:val="auto"/>
        </w:rPr>
        <w:footnoteReference w:id="25"/>
      </w:r>
      <w:r w:rsidRPr="00DD1543">
        <w:rPr>
          <w:rFonts w:hAnsi="Times New Roman" w:cs="Times New Roman"/>
          <w:color w:val="auto"/>
        </w:rPr>
        <w:t xml:space="preserve"> And yet, strikingly, their expansion has been largely neglected in the IP wars. These contractual and regulatory constraints on the use of knowledge, skill, and information acquired during employm</w:t>
      </w:r>
      <w:r w:rsidR="00A43A65">
        <w:rPr>
          <w:rFonts w:hAnsi="Times New Roman" w:cs="Times New Roman"/>
          <w:color w:val="auto"/>
        </w:rPr>
        <w:t>ent consist of (1) pre-innovation</w:t>
      </w:r>
      <w:r w:rsidRPr="00DD1543">
        <w:rPr>
          <w:rFonts w:hAnsi="Times New Roman" w:cs="Times New Roman"/>
          <w:color w:val="auto"/>
        </w:rPr>
        <w:t xml:space="preserve"> assignment agreements that go beyond the subjects </w:t>
      </w:r>
      <w:r w:rsidR="00A43A65">
        <w:rPr>
          <w:rFonts w:hAnsi="Times New Roman" w:cs="Times New Roman"/>
          <w:color w:val="auto"/>
        </w:rPr>
        <w:t xml:space="preserve">and timeline </w:t>
      </w:r>
      <w:r w:rsidRPr="00DD1543">
        <w:rPr>
          <w:rFonts w:hAnsi="Times New Roman" w:cs="Times New Roman"/>
          <w:color w:val="auto"/>
        </w:rPr>
        <w:t>that intellectual p</w:t>
      </w:r>
      <w:r w:rsidR="003A0A8D">
        <w:rPr>
          <w:rFonts w:hAnsi="Times New Roman" w:cs="Times New Roman"/>
          <w:color w:val="auto"/>
        </w:rPr>
        <w:t xml:space="preserve">roperty deem commodifiable; (2) </w:t>
      </w:r>
      <w:r w:rsidRPr="00DD1543">
        <w:rPr>
          <w:rFonts w:hAnsi="Times New Roman" w:cs="Times New Roman"/>
          <w:color w:val="auto"/>
        </w:rPr>
        <w:t xml:space="preserve">non-disclosure agreements and secrecy restrictions which span beyond traditionally defined secrets under trade secret law as well as the increased criminalization of secrecy infringement; (3) airtight non-compete agreements, post-employment career restrictions, </w:t>
      </w:r>
      <w:r w:rsidR="00A43A65">
        <w:rPr>
          <w:rFonts w:hAnsi="Times New Roman" w:cs="Times New Roman"/>
          <w:color w:val="auto"/>
        </w:rPr>
        <w:t>including</w:t>
      </w:r>
      <w:r w:rsidRPr="00DD1543">
        <w:rPr>
          <w:rFonts w:hAnsi="Times New Roman" w:cs="Times New Roman"/>
          <w:color w:val="auto"/>
        </w:rPr>
        <w:t xml:space="preserve"> anti-solicitation </w:t>
      </w:r>
      <w:r w:rsidR="00A43A65">
        <w:rPr>
          <w:rFonts w:hAnsi="Times New Roman" w:cs="Times New Roman"/>
          <w:color w:val="auto"/>
        </w:rPr>
        <w:t xml:space="preserve">and non-dealing </w:t>
      </w:r>
      <w:r w:rsidRPr="00DD1543">
        <w:rPr>
          <w:rFonts w:hAnsi="Times New Roman" w:cs="Times New Roman"/>
          <w:color w:val="auto"/>
        </w:rPr>
        <w:t xml:space="preserve">clauses, </w:t>
      </w:r>
      <w:r w:rsidR="00A43A65">
        <w:rPr>
          <w:rFonts w:hAnsi="Times New Roman" w:cs="Times New Roman"/>
          <w:color w:val="auto"/>
        </w:rPr>
        <w:t xml:space="preserve">and, </w:t>
      </w:r>
      <w:r w:rsidRPr="00DD1543">
        <w:rPr>
          <w:rFonts w:hAnsi="Times New Roman" w:cs="Times New Roman"/>
          <w:color w:val="auto"/>
        </w:rPr>
        <w:t>m</w:t>
      </w:r>
      <w:r w:rsidR="00A43A65">
        <w:rPr>
          <w:rFonts w:hAnsi="Times New Roman" w:cs="Times New Roman"/>
          <w:color w:val="auto"/>
        </w:rPr>
        <w:t xml:space="preserve">ost recently, meta-non-competes, </w:t>
      </w:r>
      <w:r w:rsidRPr="00DD1543">
        <w:rPr>
          <w:rFonts w:hAnsi="Times New Roman" w:cs="Times New Roman"/>
          <w:color w:val="auto"/>
        </w:rPr>
        <w:t xml:space="preserve">anti-competitive labor market collusion through </w:t>
      </w:r>
      <w:r w:rsidR="00A43A65">
        <w:rPr>
          <w:rFonts w:hAnsi="Times New Roman" w:cs="Times New Roman"/>
          <w:color w:val="auto"/>
        </w:rPr>
        <w:t xml:space="preserve">multi-lateral </w:t>
      </w:r>
      <w:r w:rsidRPr="00DD1543">
        <w:rPr>
          <w:rFonts w:hAnsi="Times New Roman" w:cs="Times New Roman"/>
          <w:color w:val="auto"/>
        </w:rPr>
        <w:t xml:space="preserve">anti-poaching agreements. Each of these central mechanisms, vigorously employed by companies to propertize human capital, </w:t>
      </w:r>
      <w:r w:rsidR="000B62C8" w:rsidRPr="00DD1543">
        <w:rPr>
          <w:rFonts w:hAnsi="Times New Roman" w:cs="Times New Roman"/>
          <w:color w:val="auto"/>
        </w:rPr>
        <w:t>is</w:t>
      </w:r>
      <w:r w:rsidRPr="00DD1543">
        <w:rPr>
          <w:rFonts w:hAnsi="Times New Roman" w:cs="Times New Roman"/>
          <w:color w:val="auto"/>
        </w:rPr>
        <w:t xml:space="preserve"> subject to doctrinal rules and litigation</w:t>
      </w:r>
      <w:r w:rsidR="00FD6BA4">
        <w:rPr>
          <w:rFonts w:hAnsi="Times New Roman" w:cs="Times New Roman"/>
          <w:color w:val="auto"/>
        </w:rPr>
        <w:t>,</w:t>
      </w:r>
      <w:r w:rsidR="002A7F37">
        <w:rPr>
          <w:rFonts w:hAnsi="Times New Roman" w:cs="Times New Roman"/>
          <w:color w:val="auto"/>
        </w:rPr>
        <w:t xml:space="preserve"> </w:t>
      </w:r>
      <w:r w:rsidR="00883754">
        <w:rPr>
          <w:rFonts w:hAnsi="Times New Roman" w:cs="Times New Roman"/>
          <w:color w:val="auto"/>
        </w:rPr>
        <w:t>but</w:t>
      </w:r>
      <w:r w:rsidRPr="00DD1543">
        <w:rPr>
          <w:rFonts w:hAnsi="Times New Roman" w:cs="Times New Roman"/>
          <w:color w:val="auto"/>
        </w:rPr>
        <w:t xml:space="preserve"> </w:t>
      </w:r>
      <w:r w:rsidR="00B53365">
        <w:rPr>
          <w:rFonts w:hAnsi="Times New Roman" w:cs="Times New Roman"/>
          <w:color w:val="auto"/>
        </w:rPr>
        <w:t>has</w:t>
      </w:r>
      <w:r w:rsidR="00B53365" w:rsidRPr="00DD1543">
        <w:rPr>
          <w:rFonts w:hAnsi="Times New Roman" w:cs="Times New Roman"/>
          <w:color w:val="auto"/>
        </w:rPr>
        <w:t xml:space="preserve"> </w:t>
      </w:r>
      <w:r w:rsidRPr="00DD1543">
        <w:rPr>
          <w:rFonts w:hAnsi="Times New Roman" w:cs="Times New Roman"/>
          <w:color w:val="auto"/>
        </w:rPr>
        <w:t>received surprisingly little attention as a field of law.</w:t>
      </w:r>
    </w:p>
    <w:p w14:paraId="5005F4E3" w14:textId="77777777" w:rsidR="007F1F19" w:rsidRPr="00DD1543" w:rsidRDefault="007F1F19" w:rsidP="00FB41FF">
      <w:pPr>
        <w:ind w:firstLine="720"/>
        <w:rPr>
          <w:rFonts w:hAnsi="Times New Roman" w:cs="Times New Roman"/>
          <w:color w:val="auto"/>
        </w:rPr>
      </w:pPr>
    </w:p>
    <w:p w14:paraId="0F907C3D" w14:textId="77777777" w:rsidR="00C6515A" w:rsidRPr="00121D12" w:rsidRDefault="00C6515A" w:rsidP="00C6515A">
      <w:pPr>
        <w:pStyle w:val="Heading2"/>
        <w:numPr>
          <w:ilvl w:val="1"/>
          <w:numId w:val="9"/>
        </w:numPr>
        <w:jc w:val="both"/>
        <w:rPr>
          <w:rFonts w:eastAsia="Times New Roman Bold"/>
        </w:rPr>
      </w:pPr>
      <w:bookmarkStart w:id="5" w:name="_Toc399167386"/>
      <w:r>
        <w:rPr>
          <w:rFonts w:eastAsia="Times New Roman Bold"/>
        </w:rPr>
        <w:t>The Intangible Spectrum</w:t>
      </w:r>
      <w:bookmarkEnd w:id="5"/>
    </w:p>
    <w:p w14:paraId="34FAE67C" w14:textId="77777777" w:rsidR="007F1F19" w:rsidRPr="00DD1543" w:rsidRDefault="007F1F19">
      <w:pPr>
        <w:ind w:firstLine="720"/>
        <w:rPr>
          <w:rFonts w:hAnsi="Times New Roman" w:cs="Times New Roman"/>
          <w:color w:val="auto"/>
        </w:rPr>
      </w:pPr>
    </w:p>
    <w:p w14:paraId="1868F0FA" w14:textId="77777777" w:rsidR="007F1F19" w:rsidRPr="00DD1543" w:rsidRDefault="002318AA" w:rsidP="003A0A8D">
      <w:pPr>
        <w:pStyle w:val="Heading3"/>
        <w:numPr>
          <w:ilvl w:val="2"/>
          <w:numId w:val="9"/>
        </w:numPr>
        <w:rPr>
          <w:color w:val="auto"/>
        </w:rPr>
      </w:pPr>
      <w:bookmarkStart w:id="6" w:name="_Toc399167387"/>
      <w:r w:rsidRPr="00DD1543">
        <w:rPr>
          <w:color w:val="auto"/>
        </w:rPr>
        <w:t>Evan Brown’s Abstract Solution</w:t>
      </w:r>
      <w:r w:rsidR="0033314D">
        <w:rPr>
          <w:color w:val="auto"/>
        </w:rPr>
        <w:t xml:space="preserve">: </w:t>
      </w:r>
      <w:r w:rsidR="000767A0">
        <w:t>“</w:t>
      </w:r>
      <w:r w:rsidR="000767A0" w:rsidRPr="0068507F">
        <w:rPr>
          <w:i/>
          <w:iCs/>
        </w:rPr>
        <w:t>Whether Patentable or N</w:t>
      </w:r>
      <w:r w:rsidR="0033314D" w:rsidRPr="0068507F">
        <w:rPr>
          <w:i/>
          <w:iCs/>
        </w:rPr>
        <w:t>o</w:t>
      </w:r>
      <w:r w:rsidR="003A0A8D" w:rsidRPr="0068507F">
        <w:rPr>
          <w:i/>
          <w:iCs/>
        </w:rPr>
        <w:t>n-</w:t>
      </w:r>
      <w:r w:rsidR="0033314D" w:rsidRPr="0068507F">
        <w:rPr>
          <w:i/>
          <w:iCs/>
        </w:rPr>
        <w:t>Patentable</w:t>
      </w:r>
      <w:r w:rsidR="0033314D">
        <w:t>”</w:t>
      </w:r>
      <w:bookmarkEnd w:id="6"/>
    </w:p>
    <w:p w14:paraId="0CF156B4" w14:textId="77777777" w:rsidR="007F1F19" w:rsidRPr="00DD1543" w:rsidRDefault="007F1F19">
      <w:pPr>
        <w:ind w:firstLine="720"/>
        <w:rPr>
          <w:rFonts w:hAnsi="Times New Roman" w:cs="Times New Roman"/>
          <w:color w:val="auto"/>
        </w:rPr>
      </w:pPr>
    </w:p>
    <w:p w14:paraId="03C4555B" w14:textId="13BA8C5E" w:rsidR="007F1F19" w:rsidRPr="00DD1543" w:rsidRDefault="002318AA" w:rsidP="00362241">
      <w:pPr>
        <w:ind w:firstLine="720"/>
        <w:rPr>
          <w:rFonts w:hAnsi="Times New Roman" w:cs="Times New Roman"/>
          <w:color w:val="auto"/>
        </w:rPr>
      </w:pPr>
      <w:r w:rsidRPr="00DD1543">
        <w:rPr>
          <w:rFonts w:hAnsi="Times New Roman" w:cs="Times New Roman"/>
          <w:color w:val="auto"/>
        </w:rPr>
        <w:t xml:space="preserve">Eureka! </w:t>
      </w:r>
      <w:r w:rsidR="005E4452">
        <w:rPr>
          <w:rFonts w:hAnsi="Times New Roman" w:cs="Times New Roman"/>
          <w:color w:val="auto"/>
        </w:rPr>
        <w:t>The sudden realization of a solution to a problem</w:t>
      </w:r>
      <w:r w:rsidRPr="00DD1543">
        <w:rPr>
          <w:rFonts w:hAnsi="Times New Roman" w:cs="Times New Roman"/>
          <w:color w:val="auto"/>
        </w:rPr>
        <w:t>. Evan Brown, a comput</w:t>
      </w:r>
      <w:r w:rsidR="0068507F">
        <w:rPr>
          <w:rFonts w:hAnsi="Times New Roman" w:cs="Times New Roman"/>
          <w:color w:val="auto"/>
        </w:rPr>
        <w:t>er programmer from Texas, claimed</w:t>
      </w:r>
      <w:r w:rsidRPr="00DD1543">
        <w:rPr>
          <w:rFonts w:hAnsi="Times New Roman" w:cs="Times New Roman"/>
          <w:color w:val="auto"/>
        </w:rPr>
        <w:t xml:space="preserve"> to have experienced </w:t>
      </w:r>
      <w:r w:rsidRPr="00DD1543">
        <w:rPr>
          <w:rFonts w:hAnsi="Times New Roman" w:cs="Times New Roman"/>
          <w:color w:val="auto"/>
        </w:rPr>
        <w:lastRenderedPageBreak/>
        <w:t xml:space="preserve">such a flash </w:t>
      </w:r>
      <w:r w:rsidR="005E4452">
        <w:rPr>
          <w:rFonts w:hAnsi="Times New Roman" w:cs="Times New Roman"/>
          <w:color w:val="auto"/>
        </w:rPr>
        <w:t xml:space="preserve">of genius one weekend </w:t>
      </w:r>
      <w:r w:rsidRPr="00DD1543">
        <w:rPr>
          <w:rFonts w:hAnsi="Times New Roman" w:cs="Times New Roman"/>
          <w:color w:val="auto"/>
        </w:rPr>
        <w:t>while driving.</w:t>
      </w:r>
      <w:r w:rsidR="005E4452">
        <w:rPr>
          <w:rFonts w:hAnsi="Times New Roman" w:cs="Times New Roman"/>
          <w:color w:val="auto"/>
        </w:rPr>
        <w:t xml:space="preserve"> Brown claimed that at that moment the problem he had been trying solving for over two decades, an abstract algorithm</w:t>
      </w:r>
      <w:r w:rsidRPr="00DD1543">
        <w:rPr>
          <w:rFonts w:hAnsi="Times New Roman" w:cs="Times New Roman"/>
          <w:color w:val="auto"/>
        </w:rPr>
        <w:t xml:space="preserve"> </w:t>
      </w:r>
      <w:r w:rsidR="005E4452">
        <w:rPr>
          <w:rFonts w:hAnsi="Times New Roman" w:cs="Times New Roman"/>
          <w:color w:val="auto"/>
        </w:rPr>
        <w:t xml:space="preserve">that would be the basis of </w:t>
      </w:r>
      <w:r w:rsidR="00E81370">
        <w:rPr>
          <w:rFonts w:hAnsi="Times New Roman" w:cs="Times New Roman"/>
          <w:color w:val="auto"/>
        </w:rPr>
        <w:t>adapting</w:t>
      </w:r>
      <w:r w:rsidR="005E4452">
        <w:rPr>
          <w:rFonts w:hAnsi="Times New Roman" w:cs="Times New Roman"/>
          <w:color w:val="auto"/>
        </w:rPr>
        <w:t xml:space="preserve"> old software to new hardware, had come to him. </w:t>
      </w:r>
      <w:r w:rsidR="00362241">
        <w:rPr>
          <w:rFonts w:hAnsi="Times New Roman" w:cs="Times New Roman"/>
          <w:color w:val="auto"/>
        </w:rPr>
        <w:t>Brown was an employee at</w:t>
      </w:r>
      <w:r w:rsidRPr="00DD1543">
        <w:rPr>
          <w:rFonts w:hAnsi="Times New Roman" w:cs="Times New Roman"/>
          <w:color w:val="auto"/>
        </w:rPr>
        <w:t xml:space="preserve"> the technical support department of</w:t>
      </w:r>
      <w:r w:rsidR="00362241">
        <w:rPr>
          <w:rFonts w:hAnsi="Times New Roman" w:cs="Times New Roman"/>
          <w:color w:val="auto"/>
        </w:rPr>
        <w:t xml:space="preserve"> the</w:t>
      </w:r>
      <w:r w:rsidRPr="00DD1543">
        <w:rPr>
          <w:rFonts w:hAnsi="Times New Roman" w:cs="Times New Roman"/>
          <w:color w:val="auto"/>
        </w:rPr>
        <w:t xml:space="preserve"> telecommunications company DSC/Alcatel USA. </w:t>
      </w:r>
      <w:r w:rsidR="00362241">
        <w:rPr>
          <w:rFonts w:hAnsi="Times New Roman" w:cs="Times New Roman"/>
          <w:color w:val="auto"/>
        </w:rPr>
        <w:t>At the beginning of his employment, Brown</w:t>
      </w:r>
      <w:r w:rsidRPr="00DD1543">
        <w:rPr>
          <w:rFonts w:hAnsi="Times New Roman" w:cs="Times New Roman"/>
          <w:color w:val="auto"/>
        </w:rPr>
        <w:t xml:space="preserve"> had signed a contract granting his employer “full legal right, title and interest” in all of his inventions</w:t>
      </w:r>
      <w:r w:rsidR="00362241">
        <w:rPr>
          <w:rFonts w:hAnsi="Times New Roman" w:cs="Times New Roman"/>
          <w:color w:val="auto"/>
        </w:rPr>
        <w:t>, including</w:t>
      </w:r>
      <w:r w:rsidRPr="00DD1543">
        <w:rPr>
          <w:rFonts w:hAnsi="Times New Roman" w:cs="Times New Roman"/>
          <w:color w:val="auto"/>
        </w:rPr>
        <w:t xml:space="preserve"> disclosure and transfer of </w:t>
      </w:r>
      <w:r w:rsidR="00362241">
        <w:rPr>
          <w:rFonts w:hAnsi="Times New Roman" w:cs="Times New Roman"/>
          <w:color w:val="auto"/>
        </w:rPr>
        <w:t>“</w:t>
      </w:r>
      <w:r w:rsidR="00F45E93">
        <w:rPr>
          <w:rFonts w:hAnsi="Times New Roman" w:cs="Times New Roman"/>
          <w:color w:val="auto"/>
        </w:rPr>
        <w:t>all information concerning any discoveries or inventions he made or conceived while in its employ which related to the nature of the company’s business.”</w:t>
      </w:r>
      <w:r w:rsidRPr="00DD1543">
        <w:rPr>
          <w:rFonts w:hAnsi="Times New Roman" w:cs="Times New Roman"/>
          <w:color w:val="auto"/>
        </w:rPr>
        <w:t xml:space="preserve"> </w:t>
      </w:r>
      <w:r w:rsidR="00362241">
        <w:rPr>
          <w:rFonts w:hAnsi="Times New Roman" w:cs="Times New Roman"/>
          <w:color w:val="auto"/>
        </w:rPr>
        <w:t xml:space="preserve">When </w:t>
      </w:r>
      <w:r w:rsidRPr="00DD1543">
        <w:rPr>
          <w:rFonts w:hAnsi="Times New Roman" w:cs="Times New Roman"/>
          <w:color w:val="auto"/>
        </w:rPr>
        <w:t>Brown</w:t>
      </w:r>
      <w:r w:rsidR="00362241">
        <w:rPr>
          <w:rFonts w:hAnsi="Times New Roman" w:cs="Times New Roman"/>
          <w:color w:val="auto"/>
        </w:rPr>
        <w:t xml:space="preserve"> made his disco</w:t>
      </w:r>
      <w:r w:rsidR="00E81370">
        <w:rPr>
          <w:rFonts w:hAnsi="Times New Roman" w:cs="Times New Roman"/>
          <w:color w:val="auto"/>
        </w:rPr>
        <w:t>very, he attempted to negotia</w:t>
      </w:r>
      <w:r w:rsidR="00362241">
        <w:rPr>
          <w:rFonts w:hAnsi="Times New Roman" w:cs="Times New Roman"/>
          <w:color w:val="auto"/>
        </w:rPr>
        <w:t>te a deal to share the profits of the Solution, as it would be called in court, with</w:t>
      </w:r>
      <w:r w:rsidRPr="00DD1543">
        <w:rPr>
          <w:rFonts w:hAnsi="Times New Roman" w:cs="Times New Roman"/>
          <w:color w:val="auto"/>
        </w:rPr>
        <w:t xml:space="preserve"> Alcatel</w:t>
      </w:r>
      <w:r w:rsidR="00362241">
        <w:rPr>
          <w:rFonts w:hAnsi="Times New Roman" w:cs="Times New Roman"/>
          <w:color w:val="auto"/>
        </w:rPr>
        <w:t>. Alcatel instead</w:t>
      </w:r>
      <w:r w:rsidRPr="00DD1543">
        <w:rPr>
          <w:rFonts w:hAnsi="Times New Roman" w:cs="Times New Roman"/>
          <w:color w:val="auto"/>
        </w:rPr>
        <w:t xml:space="preserve"> fired and sued</w:t>
      </w:r>
      <w:r w:rsidR="00362241">
        <w:rPr>
          <w:rFonts w:hAnsi="Times New Roman" w:cs="Times New Roman"/>
          <w:color w:val="auto"/>
        </w:rPr>
        <w:t xml:space="preserve"> for full ownership over the Solution</w:t>
      </w:r>
      <w:r w:rsidRPr="00DD1543">
        <w:rPr>
          <w:rFonts w:hAnsi="Times New Roman" w:cs="Times New Roman"/>
          <w:color w:val="auto"/>
        </w:rPr>
        <w:t xml:space="preserve">. </w:t>
      </w:r>
      <w:r w:rsidR="00362241">
        <w:rPr>
          <w:rFonts w:hAnsi="Times New Roman" w:cs="Times New Roman"/>
          <w:color w:val="auto"/>
        </w:rPr>
        <w:t>After s</w:t>
      </w:r>
      <w:r w:rsidR="003F4DF8">
        <w:rPr>
          <w:rFonts w:hAnsi="Times New Roman" w:cs="Times New Roman"/>
          <w:color w:val="auto"/>
        </w:rPr>
        <w:t>even</w:t>
      </w:r>
      <w:r w:rsidRPr="00DD1543">
        <w:rPr>
          <w:rFonts w:hAnsi="Times New Roman" w:cs="Times New Roman"/>
          <w:color w:val="auto"/>
        </w:rPr>
        <w:t xml:space="preserve"> years of litigation</w:t>
      </w:r>
      <w:r w:rsidR="00362241">
        <w:rPr>
          <w:rFonts w:hAnsi="Times New Roman" w:cs="Times New Roman"/>
          <w:color w:val="auto"/>
        </w:rPr>
        <w:t>,</w:t>
      </w:r>
      <w:r w:rsidRPr="00DD1543">
        <w:rPr>
          <w:rFonts w:hAnsi="Times New Roman" w:cs="Times New Roman"/>
          <w:color w:val="auto"/>
        </w:rPr>
        <w:t xml:space="preserve"> a Texas court ruled in favor of Alcatel holding that Brown’s algorithms belonged to his former employer. </w:t>
      </w:r>
      <w:r w:rsidR="00C04983">
        <w:rPr>
          <w:rFonts w:hAnsi="Times New Roman" w:cs="Times New Roman"/>
          <w:color w:val="auto"/>
        </w:rPr>
        <w:t xml:space="preserve">The Texas court found that the Solution was an invention or conception falling under the terms of the employment agreement and that the employment contract applied to the Solution because Alcatel was in </w:t>
      </w:r>
      <w:r w:rsidR="00FD12B5">
        <w:rPr>
          <w:rFonts w:hAnsi="Times New Roman" w:cs="Times New Roman"/>
          <w:color w:val="auto"/>
        </w:rPr>
        <w:t>a</w:t>
      </w:r>
      <w:r w:rsidR="00C04983">
        <w:rPr>
          <w:rFonts w:hAnsi="Times New Roman" w:cs="Times New Roman"/>
          <w:color w:val="auto"/>
        </w:rPr>
        <w:t xml:space="preserve"> b</w:t>
      </w:r>
      <w:r w:rsidR="00362241">
        <w:rPr>
          <w:rFonts w:hAnsi="Times New Roman" w:cs="Times New Roman"/>
          <w:color w:val="auto"/>
        </w:rPr>
        <w:t>usiness related to the Solution</w:t>
      </w:r>
      <w:r w:rsidR="00B54C83">
        <w:rPr>
          <w:rFonts w:hAnsi="Times New Roman" w:cs="Times New Roman"/>
          <w:color w:val="auto"/>
        </w:rPr>
        <w:t xml:space="preserve"> and that  “one of Brown’s job functions was to manually convert Alcatel’s existing low-level code to high level code.”  </w:t>
      </w:r>
      <w:r w:rsidRPr="00DD1543">
        <w:rPr>
          <w:rFonts w:hAnsi="Times New Roman" w:cs="Times New Roman"/>
          <w:color w:val="auto"/>
        </w:rPr>
        <w:t>Following the court order, Brown was forced to travel to Alcatel’s offices for three months and write down hundreds of pages of computer code without pay.</w:t>
      </w:r>
      <w:r w:rsidR="0070099F">
        <w:rPr>
          <w:rStyle w:val="FootnoteReference"/>
          <w:rFonts w:hAnsi="Times New Roman" w:cs="Times New Roman"/>
          <w:color w:val="auto"/>
        </w:rPr>
        <w:footnoteReference w:id="26"/>
      </w:r>
    </w:p>
    <w:p w14:paraId="1E0B3909" w14:textId="77777777" w:rsidR="007F1F19" w:rsidRPr="00DD1543" w:rsidRDefault="007F1F19">
      <w:pPr>
        <w:ind w:left="720" w:right="720"/>
        <w:rPr>
          <w:rFonts w:hAnsi="Times New Roman" w:cs="Times New Roman"/>
          <w:color w:val="auto"/>
        </w:rPr>
      </w:pPr>
    </w:p>
    <w:p w14:paraId="23A99D55" w14:textId="62AC1AB1" w:rsidR="005D5AFC" w:rsidRPr="00C96A08" w:rsidRDefault="006262E5" w:rsidP="007F6F74">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Brown’s </w:t>
      </w:r>
      <w:r w:rsidR="00362241">
        <w:rPr>
          <w:rFonts w:hAnsi="Times New Roman" w:cs="Times New Roman"/>
          <w:color w:val="auto"/>
        </w:rPr>
        <w:t>became a</w:t>
      </w:r>
      <w:r w:rsidR="002318AA" w:rsidRPr="00DD1543">
        <w:rPr>
          <w:rFonts w:hAnsi="Times New Roman" w:cs="Times New Roman"/>
          <w:color w:val="auto"/>
        </w:rPr>
        <w:t xml:space="preserve"> symbol of the outrage felt by inventors required to hand over their</w:t>
      </w:r>
      <w:r w:rsidR="00362241">
        <w:rPr>
          <w:rFonts w:hAnsi="Times New Roman" w:cs="Times New Roman"/>
          <w:color w:val="auto"/>
        </w:rPr>
        <w:t xml:space="preserve"> innovation</w:t>
      </w:r>
      <w:r w:rsidR="002318AA" w:rsidRPr="00DD1543">
        <w:rPr>
          <w:rFonts w:hAnsi="Times New Roman" w:cs="Times New Roman"/>
          <w:color w:val="auto"/>
        </w:rPr>
        <w:t xml:space="preserve"> their former</w:t>
      </w:r>
      <w:r w:rsidR="00362241">
        <w:rPr>
          <w:rFonts w:hAnsi="Times New Roman" w:cs="Times New Roman"/>
          <w:color w:val="auto"/>
        </w:rPr>
        <w:t xml:space="preserve"> employers</w:t>
      </w:r>
      <w:r w:rsidR="002318AA" w:rsidRPr="00DD1543">
        <w:rPr>
          <w:rFonts w:hAnsi="Times New Roman" w:cs="Times New Roman"/>
          <w:color w:val="auto"/>
        </w:rPr>
        <w:t>.</w:t>
      </w:r>
      <w:r w:rsidR="002318AA" w:rsidRPr="00DD1543">
        <w:rPr>
          <w:rFonts w:eastAsia="Times New Roman" w:hAnsi="Times New Roman" w:cs="Times New Roman"/>
          <w:color w:val="auto"/>
          <w:vertAlign w:val="superscript"/>
        </w:rPr>
        <w:footnoteReference w:id="27"/>
      </w:r>
      <w:r w:rsidR="002318AA" w:rsidRPr="00DD1543">
        <w:rPr>
          <w:rFonts w:hAnsi="Times New Roman" w:cs="Times New Roman"/>
          <w:color w:val="auto"/>
        </w:rPr>
        <w:t xml:space="preserve"> Scott Adams </w:t>
      </w:r>
      <w:r w:rsidR="00137C2B">
        <w:rPr>
          <w:rFonts w:hAnsi="Times New Roman" w:cs="Times New Roman"/>
          <w:color w:val="auto"/>
        </w:rPr>
        <w:t xml:space="preserve">was </w:t>
      </w:r>
      <w:r w:rsidR="002318AA" w:rsidRPr="00DD1543">
        <w:rPr>
          <w:rFonts w:hAnsi="Times New Roman" w:cs="Times New Roman"/>
          <w:color w:val="auto"/>
        </w:rPr>
        <w:t>create</w:t>
      </w:r>
      <w:r w:rsidR="00362241">
        <w:rPr>
          <w:rFonts w:hAnsi="Times New Roman" w:cs="Times New Roman"/>
          <w:color w:val="auto"/>
        </w:rPr>
        <w:t>d</w:t>
      </w:r>
      <w:r w:rsidR="002318AA" w:rsidRPr="00DD1543">
        <w:rPr>
          <w:rFonts w:hAnsi="Times New Roman" w:cs="Times New Roman"/>
          <w:color w:val="auto"/>
        </w:rPr>
        <w:t xml:space="preserve"> a Dilbert strip about Brown</w:t>
      </w:r>
      <w:r w:rsidR="00362241">
        <w:rPr>
          <w:rFonts w:hAnsi="Times New Roman" w:cs="Times New Roman"/>
          <w:color w:val="auto"/>
        </w:rPr>
        <w:t>’s all too common</w:t>
      </w:r>
      <w:r w:rsidR="002318AA" w:rsidRPr="00DD1543">
        <w:rPr>
          <w:rFonts w:hAnsi="Times New Roman" w:cs="Times New Roman"/>
          <w:color w:val="auto"/>
        </w:rPr>
        <w:t xml:space="preserve"> experience, showing an employee </w:t>
      </w:r>
      <w:r w:rsidR="00362241">
        <w:rPr>
          <w:rFonts w:hAnsi="Times New Roman" w:cs="Times New Roman"/>
          <w:color w:val="auto"/>
        </w:rPr>
        <w:t>asked</w:t>
      </w:r>
      <w:r w:rsidR="002318AA" w:rsidRPr="00DD1543">
        <w:rPr>
          <w:rFonts w:hAnsi="Times New Roman" w:cs="Times New Roman"/>
          <w:color w:val="auto"/>
        </w:rPr>
        <w:t xml:space="preserve"> to “cough up his idea.”</w:t>
      </w:r>
      <w:r w:rsidR="002318AA" w:rsidRPr="00DD1543">
        <w:rPr>
          <w:rFonts w:eastAsia="Times New Roman" w:hAnsi="Times New Roman" w:cs="Times New Roman"/>
          <w:color w:val="auto"/>
          <w:vertAlign w:val="superscript"/>
        </w:rPr>
        <w:footnoteReference w:id="28"/>
      </w:r>
      <w:r w:rsidR="00F81293" w:rsidRPr="00C96A08">
        <w:rPr>
          <w:rFonts w:hAnsi="Times New Roman" w:cs="Times New Roman"/>
          <w:color w:val="auto"/>
        </w:rPr>
        <w:t xml:space="preserve"> Brown’s story</w:t>
      </w:r>
      <w:r w:rsidR="0048504A" w:rsidRPr="00C96A08">
        <w:rPr>
          <w:rFonts w:hAnsi="Times New Roman" w:cs="Times New Roman"/>
          <w:color w:val="auto"/>
        </w:rPr>
        <w:t xml:space="preserve"> is far from unique. Pre-invention assignment clauses are pervasive and standard across many industries and jobs.</w:t>
      </w:r>
      <w:r w:rsidR="0048504A" w:rsidRPr="00C96A08">
        <w:rPr>
          <w:rStyle w:val="FootnoteReference"/>
          <w:rFonts w:hAnsi="Times New Roman" w:cs="Times New Roman"/>
          <w:color w:val="auto"/>
        </w:rPr>
        <w:footnoteReference w:id="29"/>
      </w:r>
      <w:r w:rsidR="0048504A" w:rsidRPr="00C96A08">
        <w:rPr>
          <w:rFonts w:hAnsi="Times New Roman" w:cs="Times New Roman"/>
          <w:color w:val="auto"/>
        </w:rPr>
        <w:t xml:space="preserve"> </w:t>
      </w:r>
      <w:r w:rsidR="00F81293" w:rsidRPr="00C96A08">
        <w:rPr>
          <w:rFonts w:hAnsi="Times New Roman" w:cs="Times New Roman"/>
          <w:color w:val="auto"/>
        </w:rPr>
        <w:t xml:space="preserve">While </w:t>
      </w:r>
      <w:r w:rsidR="00C96A08" w:rsidRPr="00C96A08">
        <w:rPr>
          <w:rFonts w:hAnsi="Times New Roman" w:cs="Times New Roman"/>
          <w:color w:val="auto"/>
        </w:rPr>
        <w:t>individual inventors</w:t>
      </w:r>
      <w:r w:rsidR="00F81293" w:rsidRPr="00C96A08">
        <w:rPr>
          <w:rFonts w:hAnsi="Times New Roman" w:cs="Times New Roman"/>
          <w:color w:val="auto"/>
        </w:rPr>
        <w:t xml:space="preserve"> develop </w:t>
      </w:r>
      <w:r w:rsidR="00362241">
        <w:rPr>
          <w:rFonts w:hAnsi="Times New Roman" w:cs="Times New Roman"/>
          <w:color w:val="auto"/>
        </w:rPr>
        <w:t>patented inventions, the vast majority o</w:t>
      </w:r>
      <w:r w:rsidR="00F81293" w:rsidRPr="00C96A08">
        <w:rPr>
          <w:rFonts w:hAnsi="Times New Roman" w:cs="Times New Roman"/>
          <w:color w:val="auto"/>
        </w:rPr>
        <w:t xml:space="preserve">f the patents submitted to the U.S. patent office </w:t>
      </w:r>
      <w:r w:rsidR="00C96A08" w:rsidRPr="00C96A08">
        <w:rPr>
          <w:rFonts w:hAnsi="Times New Roman" w:cs="Times New Roman"/>
          <w:color w:val="auto"/>
        </w:rPr>
        <w:t>are submitted by</w:t>
      </w:r>
      <w:r w:rsidR="00F81293" w:rsidRPr="00C96A08">
        <w:rPr>
          <w:rFonts w:hAnsi="Times New Roman" w:cs="Times New Roman"/>
          <w:color w:val="auto"/>
        </w:rPr>
        <w:t xml:space="preserve"> corporations.</w:t>
      </w:r>
      <w:r w:rsidR="00C96A08" w:rsidRPr="00C96A08">
        <w:rPr>
          <w:rStyle w:val="FootnoteReference"/>
          <w:rFonts w:hAnsi="Times New Roman" w:cs="Times New Roman"/>
          <w:color w:val="auto"/>
        </w:rPr>
        <w:footnoteReference w:id="30"/>
      </w:r>
      <w:r w:rsidR="00F81293" w:rsidRPr="00C96A08">
        <w:rPr>
          <w:rFonts w:hAnsi="Times New Roman" w:cs="Times New Roman"/>
          <w:color w:val="auto"/>
        </w:rPr>
        <w:t xml:space="preserve"> </w:t>
      </w:r>
      <w:r w:rsidR="007F6F74">
        <w:rPr>
          <w:rFonts w:hAnsi="Times New Roman" w:cs="Times New Roman"/>
          <w:color w:val="auto"/>
        </w:rPr>
        <w:t>And yet, despite this pervasive assignment practice, t</w:t>
      </w:r>
      <w:r w:rsidR="00362241">
        <w:rPr>
          <w:rFonts w:hAnsi="Times New Roman" w:cs="Times New Roman"/>
          <w:color w:val="auto"/>
        </w:rPr>
        <w:t>he outrage that Brown’s case triggered was particularly acute in part</w:t>
      </w:r>
      <w:r w:rsidR="002318AA" w:rsidRPr="00C96A08">
        <w:rPr>
          <w:rFonts w:hAnsi="Times New Roman" w:cs="Times New Roman"/>
          <w:color w:val="auto"/>
        </w:rPr>
        <w:t xml:space="preserve"> because the Solution existed entirely in Evan Brown’s mind and was </w:t>
      </w:r>
      <w:r w:rsidR="00C96A08" w:rsidRPr="00C96A08">
        <w:rPr>
          <w:rFonts w:hAnsi="Times New Roman" w:cs="Times New Roman"/>
          <w:color w:val="auto"/>
        </w:rPr>
        <w:t>merely</w:t>
      </w:r>
      <w:r w:rsidR="002318AA" w:rsidRPr="00C96A08">
        <w:rPr>
          <w:rFonts w:hAnsi="Times New Roman" w:cs="Times New Roman"/>
          <w:color w:val="auto"/>
        </w:rPr>
        <w:t xml:space="preserve"> an intangi</w:t>
      </w:r>
      <w:r w:rsidR="00F81293" w:rsidRPr="00C96A08">
        <w:rPr>
          <w:rFonts w:hAnsi="Times New Roman" w:cs="Times New Roman"/>
          <w:color w:val="auto"/>
        </w:rPr>
        <w:t xml:space="preserve">ble idea in incubation. </w:t>
      </w:r>
      <w:r w:rsidR="007F6F74">
        <w:rPr>
          <w:rFonts w:hAnsi="Times New Roman" w:cs="Times New Roman"/>
          <w:color w:val="auto"/>
        </w:rPr>
        <w:t>Fr</w:t>
      </w:r>
      <w:r w:rsidR="002318AA" w:rsidRPr="00C96A08">
        <w:rPr>
          <w:rFonts w:hAnsi="Times New Roman" w:cs="Times New Roman"/>
          <w:color w:val="auto"/>
        </w:rPr>
        <w:t xml:space="preserve">om a temporal perspective, the Solution </w:t>
      </w:r>
      <w:r w:rsidR="000279B6" w:rsidRPr="00C96A08">
        <w:rPr>
          <w:rFonts w:hAnsi="Times New Roman" w:cs="Times New Roman"/>
          <w:color w:val="auto"/>
        </w:rPr>
        <w:t>reflects</w:t>
      </w:r>
      <w:r w:rsidR="002318AA" w:rsidRPr="00C96A08">
        <w:rPr>
          <w:rFonts w:hAnsi="Times New Roman" w:cs="Times New Roman"/>
          <w:color w:val="auto"/>
        </w:rPr>
        <w:t xml:space="preserve"> the product of Brown’s life work, spanning a career that </w:t>
      </w:r>
      <w:r w:rsidR="007F6F74">
        <w:rPr>
          <w:rFonts w:hAnsi="Times New Roman" w:cs="Times New Roman"/>
          <w:color w:val="auto"/>
        </w:rPr>
        <w:t xml:space="preserve">far </w:t>
      </w:r>
      <w:r w:rsidR="007F6F74">
        <w:rPr>
          <w:rFonts w:hAnsi="Times New Roman" w:cs="Times New Roman"/>
          <w:color w:val="auto"/>
        </w:rPr>
        <w:lastRenderedPageBreak/>
        <w:t>richer than the</w:t>
      </w:r>
      <w:r w:rsidR="002318AA" w:rsidRPr="00C96A08">
        <w:rPr>
          <w:rFonts w:hAnsi="Times New Roman" w:cs="Times New Roman"/>
          <w:color w:val="auto"/>
        </w:rPr>
        <w:t xml:space="preserve"> decade</w:t>
      </w:r>
      <w:r w:rsidR="007F6F74">
        <w:rPr>
          <w:rFonts w:hAnsi="Times New Roman" w:cs="Times New Roman"/>
          <w:color w:val="auto"/>
        </w:rPr>
        <w:t xml:space="preserve"> of work</w:t>
      </w:r>
      <w:r w:rsidR="002318AA" w:rsidRPr="00C96A08">
        <w:rPr>
          <w:rFonts w:hAnsi="Times New Roman" w:cs="Times New Roman"/>
          <w:color w:val="auto"/>
        </w:rPr>
        <w:t xml:space="preserve"> at Alcatel. </w:t>
      </w:r>
      <w:r w:rsidR="000279B6" w:rsidRPr="00C96A08">
        <w:rPr>
          <w:rFonts w:hAnsi="Times New Roman" w:cs="Times New Roman"/>
          <w:color w:val="auto"/>
        </w:rPr>
        <w:t>Even</w:t>
      </w:r>
      <w:r w:rsidR="002318AA" w:rsidRPr="00C96A08">
        <w:rPr>
          <w:rFonts w:hAnsi="Times New Roman" w:cs="Times New Roman"/>
          <w:color w:val="auto"/>
        </w:rPr>
        <w:t xml:space="preserve"> more generally, </w:t>
      </w:r>
      <w:r w:rsidR="00C96A08" w:rsidRPr="00C96A08">
        <w:rPr>
          <w:rFonts w:hAnsi="Times New Roman" w:cs="Times New Roman"/>
          <w:color w:val="auto"/>
        </w:rPr>
        <w:t xml:space="preserve">the sense of wrong may come from the common practice of </w:t>
      </w:r>
      <w:r w:rsidR="000279B6" w:rsidRPr="00C96A08">
        <w:rPr>
          <w:rFonts w:hAnsi="Times New Roman" w:cs="Times New Roman"/>
          <w:color w:val="auto"/>
        </w:rPr>
        <w:t>requiring employees to forfeit all future innovation through assignment agreements</w:t>
      </w:r>
      <w:r w:rsidR="00C96A08" w:rsidRPr="00C96A08">
        <w:rPr>
          <w:rFonts w:hAnsi="Times New Roman" w:cs="Times New Roman"/>
          <w:color w:val="auto"/>
        </w:rPr>
        <w:t>,</w:t>
      </w:r>
      <w:r w:rsidR="000279B6" w:rsidRPr="00C96A08">
        <w:rPr>
          <w:rFonts w:hAnsi="Times New Roman" w:cs="Times New Roman"/>
          <w:color w:val="auto"/>
        </w:rPr>
        <w:t xml:space="preserve"> effectively restr</w:t>
      </w:r>
      <w:r w:rsidR="00C96A08" w:rsidRPr="00C96A08">
        <w:rPr>
          <w:rFonts w:hAnsi="Times New Roman" w:cs="Times New Roman"/>
          <w:color w:val="auto"/>
        </w:rPr>
        <w:t>icting them</w:t>
      </w:r>
      <w:r w:rsidR="00137C2B" w:rsidRPr="00C96A08">
        <w:rPr>
          <w:rFonts w:hAnsi="Times New Roman" w:cs="Times New Roman"/>
          <w:color w:val="auto"/>
        </w:rPr>
        <w:t xml:space="preserve"> from later pursuing independent career paths</w:t>
      </w:r>
      <w:r w:rsidR="00C96A08" w:rsidRPr="00C96A08">
        <w:rPr>
          <w:rFonts w:hAnsi="Times New Roman" w:cs="Times New Roman"/>
          <w:color w:val="auto"/>
        </w:rPr>
        <w:t>,</w:t>
      </w:r>
      <w:r w:rsidR="000279B6" w:rsidRPr="00C96A08">
        <w:rPr>
          <w:rFonts w:hAnsi="Times New Roman" w:cs="Times New Roman"/>
          <w:color w:val="auto"/>
        </w:rPr>
        <w:t xml:space="preserve"> notwithstanding </w:t>
      </w:r>
      <w:r w:rsidR="00137C2B" w:rsidRPr="00C96A08">
        <w:rPr>
          <w:rFonts w:hAnsi="Times New Roman" w:cs="Times New Roman"/>
          <w:color w:val="auto"/>
        </w:rPr>
        <w:t>the fact that they were not hired to invent.</w:t>
      </w:r>
    </w:p>
    <w:p w14:paraId="3D0597ED" w14:textId="77777777" w:rsidR="005D5AFC" w:rsidRDefault="005D5AFC">
      <w:pPr>
        <w:rPr>
          <w:rFonts w:hAnsi="Times New Roman" w:cs="Times New Roman"/>
          <w:color w:val="auto"/>
        </w:rPr>
      </w:pPr>
    </w:p>
    <w:p w14:paraId="1AA234F8" w14:textId="7F88EC49" w:rsidR="007F1F19" w:rsidRPr="00DD1543" w:rsidRDefault="002318AA" w:rsidP="007F6F74">
      <w:pPr>
        <w:ind w:firstLine="720"/>
        <w:rPr>
          <w:rFonts w:hAnsi="Times New Roman" w:cs="Times New Roman"/>
          <w:color w:val="auto"/>
        </w:rPr>
      </w:pPr>
      <w:r w:rsidRPr="00DD1543">
        <w:rPr>
          <w:rFonts w:hAnsi="Times New Roman" w:cs="Times New Roman"/>
          <w:color w:val="auto"/>
        </w:rPr>
        <w:t>The Texas court viewed the case as a simple breach of contract and ordered Brown to hand over his idea.</w:t>
      </w:r>
      <w:r w:rsidR="00F0551E">
        <w:rPr>
          <w:rStyle w:val="FootnoteReference"/>
          <w:rFonts w:hAnsi="Times New Roman" w:cs="Times New Roman"/>
          <w:color w:val="auto"/>
        </w:rPr>
        <w:footnoteReference w:id="31"/>
      </w:r>
      <w:r w:rsidRPr="00DD1543">
        <w:rPr>
          <w:rFonts w:hAnsi="Times New Roman" w:cs="Times New Roman"/>
          <w:color w:val="auto"/>
        </w:rPr>
        <w:t xml:space="preserve"> </w:t>
      </w:r>
      <w:r w:rsidR="003E04D2">
        <w:rPr>
          <w:rFonts w:hAnsi="Times New Roman" w:cs="Times New Roman"/>
          <w:color w:val="auto"/>
        </w:rPr>
        <w:t xml:space="preserve">The judge explained that the contact was a </w:t>
      </w:r>
      <w:r w:rsidR="00E31787">
        <w:rPr>
          <w:rFonts w:hAnsi="Times New Roman" w:cs="Times New Roman"/>
          <w:color w:val="auto"/>
        </w:rPr>
        <w:t xml:space="preserve">valid </w:t>
      </w:r>
      <w:r w:rsidR="003E04D2">
        <w:rPr>
          <w:rFonts w:hAnsi="Times New Roman" w:cs="Times New Roman"/>
          <w:color w:val="auto"/>
        </w:rPr>
        <w:t>one</w:t>
      </w:r>
      <w:r w:rsidR="00E31787">
        <w:rPr>
          <w:rFonts w:hAnsi="Times New Roman" w:cs="Times New Roman"/>
          <w:color w:val="auto"/>
        </w:rPr>
        <w:t xml:space="preserve"> because “Brown’s continued employment was conditioned on his signing the employment agreement.”  </w:t>
      </w:r>
      <w:r w:rsidR="00BF01BC">
        <w:rPr>
          <w:rFonts w:hAnsi="Times New Roman" w:cs="Times New Roman"/>
          <w:color w:val="auto"/>
        </w:rPr>
        <w:t xml:space="preserve">The court stated that Brown’s contract with Alcatel was enforceable because the “continued employment and payment of salary, which would not have occurred but for Brown signing the employee agreement, was Alcatel’s performance under the unilateral contract” and a unilateral contract “becomes enforceable if the party seeking to enforce the contract has performed, conferring even a remote benefit on the other party.” </w:t>
      </w:r>
      <w:r w:rsidR="007C3C33">
        <w:rPr>
          <w:rFonts w:hAnsi="Times New Roman" w:cs="Times New Roman"/>
          <w:color w:val="auto"/>
        </w:rPr>
        <w:t xml:space="preserve"> </w:t>
      </w:r>
      <w:r w:rsidRPr="00DD1543">
        <w:rPr>
          <w:rFonts w:hAnsi="Times New Roman" w:cs="Times New Roman"/>
          <w:color w:val="auto"/>
        </w:rPr>
        <w:t xml:space="preserve">The court ordered complete disclosure of the Solution to Brown’s ex-employer and refused to apply a </w:t>
      </w:r>
      <w:r w:rsidR="008C38C3">
        <w:rPr>
          <w:rFonts w:hAnsi="Times New Roman" w:cs="Times New Roman"/>
          <w:color w:val="auto"/>
        </w:rPr>
        <w:t xml:space="preserve">reasonableness analysis to </w:t>
      </w:r>
      <w:r w:rsidR="000F389C">
        <w:rPr>
          <w:rFonts w:hAnsi="Times New Roman" w:cs="Times New Roman"/>
          <w:color w:val="auto"/>
        </w:rPr>
        <w:t>invalidate the assignment</w:t>
      </w:r>
      <w:r w:rsidRPr="00DD1543">
        <w:rPr>
          <w:rFonts w:hAnsi="Times New Roman" w:cs="Times New Roman"/>
          <w:color w:val="auto"/>
        </w:rPr>
        <w:t xml:space="preserve"> contract Brown had signed early on in his career at Alcatel. </w:t>
      </w:r>
    </w:p>
    <w:p w14:paraId="5BD6C7B6" w14:textId="77777777" w:rsidR="007F1F19" w:rsidRPr="00DD1543" w:rsidRDefault="007F1F19">
      <w:pPr>
        <w:rPr>
          <w:rFonts w:hAnsi="Times New Roman" w:cs="Times New Roman"/>
          <w:color w:val="auto"/>
        </w:rPr>
      </w:pPr>
    </w:p>
    <w:p w14:paraId="5A60C414" w14:textId="65A8EC1B" w:rsidR="00FA747F" w:rsidRDefault="007F6F74" w:rsidP="007F6F74">
      <w:pPr>
        <w:ind w:firstLine="720"/>
        <w:rPr>
          <w:rFonts w:hAnsi="Times New Roman" w:cs="Times New Roman"/>
          <w:color w:val="auto"/>
        </w:rPr>
      </w:pPr>
      <w:r>
        <w:rPr>
          <w:rFonts w:hAnsi="Times New Roman" w:cs="Times New Roman"/>
          <w:color w:val="auto"/>
        </w:rPr>
        <w:t>Drawing the lines between an abstract idea that cannot be owned and innovation that may become the subject of property, p</w:t>
      </w:r>
      <w:r w:rsidR="002318AA" w:rsidRPr="00DD1543">
        <w:rPr>
          <w:rFonts w:hAnsi="Times New Roman" w:cs="Times New Roman"/>
          <w:color w:val="auto"/>
        </w:rPr>
        <w:t>atent law</w:t>
      </w:r>
      <w:r>
        <w:rPr>
          <w:rFonts w:hAnsi="Times New Roman" w:cs="Times New Roman"/>
          <w:color w:val="auto"/>
        </w:rPr>
        <w:t xml:space="preserve"> asserts that c</w:t>
      </w:r>
      <w:r w:rsidR="002318AA" w:rsidRPr="00DD1543">
        <w:rPr>
          <w:rFonts w:hAnsi="Times New Roman" w:cs="Times New Roman"/>
          <w:color w:val="auto"/>
        </w:rPr>
        <w:t xml:space="preserve">oncepts that are only in their incubation stage and have not </w:t>
      </w:r>
      <w:r w:rsidR="008F74EE">
        <w:rPr>
          <w:rFonts w:hAnsi="Times New Roman" w:cs="Times New Roman"/>
          <w:color w:val="auto"/>
        </w:rPr>
        <w:t xml:space="preserve">yet </w:t>
      </w:r>
      <w:r w:rsidR="002318AA" w:rsidRPr="00DD1543">
        <w:rPr>
          <w:rFonts w:hAnsi="Times New Roman" w:cs="Times New Roman"/>
          <w:color w:val="auto"/>
        </w:rPr>
        <w:t>left the mind of the inventor cannot be propertized.</w:t>
      </w:r>
      <w:r w:rsidR="008F74EE">
        <w:rPr>
          <w:rFonts w:hAnsi="Times New Roman" w:cs="Times New Roman"/>
          <w:color w:val="auto"/>
        </w:rPr>
        <w:t xml:space="preserve"> </w:t>
      </w:r>
      <w:r w:rsidR="002318AA" w:rsidRPr="00DD1543">
        <w:rPr>
          <w:rFonts w:hAnsi="Times New Roman" w:cs="Times New Roman"/>
          <w:color w:val="auto"/>
        </w:rPr>
        <w:t>In patent law, information is patentable only after the information is reduced to practice, has utility, and is inventive.</w:t>
      </w:r>
      <w:r w:rsidR="002318AA" w:rsidRPr="00DD1543">
        <w:rPr>
          <w:rFonts w:hAnsi="Times New Roman" w:cs="Times New Roman"/>
          <w:color w:val="auto"/>
          <w:vertAlign w:val="superscript"/>
        </w:rPr>
        <w:footnoteReference w:id="32"/>
      </w:r>
      <w:r w:rsidR="002318AA" w:rsidRPr="00DD1543">
        <w:rPr>
          <w:rFonts w:hAnsi="Times New Roman" w:cs="Times New Roman"/>
          <w:color w:val="auto"/>
        </w:rPr>
        <w:t xml:space="preserve"> In several leading cases, the Supreme Court ruled that abstract</w:t>
      </w:r>
      <w:r w:rsidR="002318AA" w:rsidRPr="00DD1543">
        <w:rPr>
          <w:rFonts w:hAnsi="Times New Roman" w:cs="Times New Roman"/>
          <w:color w:val="auto"/>
          <w:shd w:val="clear" w:color="auto" w:fill="FFFFFF"/>
        </w:rPr>
        <w:t xml:space="preserve"> ideas </w:t>
      </w:r>
      <w:r w:rsidR="00D074D1">
        <w:rPr>
          <w:rFonts w:hAnsi="Times New Roman" w:cs="Times New Roman"/>
          <w:color w:val="auto"/>
          <w:shd w:val="clear" w:color="auto" w:fill="FFFFFF"/>
        </w:rPr>
        <w:t>could not</w:t>
      </w:r>
      <w:r w:rsidR="00D074D1" w:rsidRPr="00DD1543">
        <w:rPr>
          <w:rFonts w:hAnsi="Times New Roman" w:cs="Times New Roman"/>
          <w:color w:val="auto"/>
          <w:shd w:val="clear" w:color="auto" w:fill="FFFFFF"/>
        </w:rPr>
        <w:t xml:space="preserve"> </w:t>
      </w:r>
      <w:r w:rsidR="002318AA" w:rsidRPr="00DD1543">
        <w:rPr>
          <w:rFonts w:hAnsi="Times New Roman" w:cs="Times New Roman"/>
          <w:color w:val="auto"/>
          <w:shd w:val="clear" w:color="auto" w:fill="FFFFFF"/>
        </w:rPr>
        <w:t>be patented because they are the fundamental building blocks of science and technology.</w:t>
      </w:r>
      <w:r w:rsidR="002318AA" w:rsidRPr="00DD1543">
        <w:rPr>
          <w:rFonts w:hAnsi="Times New Roman" w:cs="Times New Roman"/>
          <w:color w:val="auto"/>
          <w:vertAlign w:val="superscript"/>
        </w:rPr>
        <w:footnoteReference w:id="33"/>
      </w:r>
      <w:r w:rsidR="002318AA" w:rsidRPr="00DD1543">
        <w:rPr>
          <w:rFonts w:hAnsi="Times New Roman" w:cs="Times New Roman"/>
          <w:color w:val="auto"/>
          <w:shd w:val="clear" w:color="auto" w:fill="FFFFFF"/>
        </w:rPr>
        <w:t xml:space="preserve"> In 2010, </w:t>
      </w:r>
      <w:r w:rsidR="001C1C47">
        <w:rPr>
          <w:rFonts w:hAnsi="Times New Roman" w:cs="Times New Roman"/>
          <w:color w:val="auto"/>
          <w:shd w:val="clear" w:color="auto" w:fill="FFFFFF"/>
        </w:rPr>
        <w:t xml:space="preserve">in </w:t>
      </w:r>
      <w:r w:rsidR="00162177" w:rsidRPr="00C24430">
        <w:rPr>
          <w:rFonts w:hAnsi="Times New Roman" w:cs="Times New Roman"/>
          <w:i/>
          <w:color w:val="auto"/>
          <w:shd w:val="clear" w:color="auto" w:fill="FFFFFF"/>
        </w:rPr>
        <w:t>Bilski v. Kappos</w:t>
      </w:r>
      <w:r w:rsidR="00162177">
        <w:rPr>
          <w:rFonts w:hAnsi="Times New Roman" w:cs="Times New Roman"/>
          <w:color w:val="auto"/>
          <w:shd w:val="clear" w:color="auto" w:fill="FFFFFF"/>
        </w:rPr>
        <w:t xml:space="preserve">, </w:t>
      </w:r>
      <w:r w:rsidR="002E695E" w:rsidRPr="00DD1543">
        <w:rPr>
          <w:rFonts w:hAnsi="Times New Roman" w:cs="Times New Roman"/>
          <w:color w:val="auto"/>
          <w:shd w:val="clear" w:color="auto" w:fill="FFFFFF"/>
        </w:rPr>
        <w:t xml:space="preserve">the Court held that a method for hedging risk of changing energy prices was too abstract a concept to be </w:t>
      </w:r>
      <w:r w:rsidR="002E695E" w:rsidRPr="00DD1543">
        <w:rPr>
          <w:rFonts w:hAnsi="Times New Roman" w:cs="Times New Roman"/>
          <w:color w:val="auto"/>
          <w:shd w:val="clear" w:color="auto" w:fill="FFFFFF"/>
        </w:rPr>
        <w:lastRenderedPageBreak/>
        <w:t>patentable</w:t>
      </w:r>
      <w:r w:rsidR="00162177">
        <w:rPr>
          <w:rFonts w:hAnsi="Times New Roman" w:cs="Times New Roman"/>
          <w:color w:val="auto"/>
          <w:shd w:val="clear" w:color="auto" w:fill="FFFFFF"/>
        </w:rPr>
        <w:t>.</w:t>
      </w:r>
      <w:r w:rsidR="002318AA" w:rsidRPr="00DD1543">
        <w:rPr>
          <w:rFonts w:hAnsi="Times New Roman" w:cs="Times New Roman"/>
          <w:color w:val="auto"/>
        </w:rPr>
        <w:t xml:space="preserve"> This line drawing continues with the recent Supreme Court case, </w:t>
      </w:r>
      <w:r w:rsidR="002318AA" w:rsidRPr="00DD1543">
        <w:rPr>
          <w:rFonts w:hAnsi="Times New Roman" w:cs="Times New Roman"/>
          <w:i/>
          <w:iCs/>
          <w:color w:val="auto"/>
          <w:shd w:val="clear" w:color="auto" w:fill="FFFFFF"/>
        </w:rPr>
        <w:t xml:space="preserve">Alice Corp. v. CLS Bank International, </w:t>
      </w:r>
      <w:r w:rsidR="002318AA" w:rsidRPr="00DD1543">
        <w:rPr>
          <w:rFonts w:hAnsi="Times New Roman" w:cs="Times New Roman"/>
          <w:color w:val="auto"/>
          <w:shd w:val="clear" w:color="auto" w:fill="FFFFFF"/>
        </w:rPr>
        <w:t xml:space="preserve">in which the </w:t>
      </w:r>
      <w:r w:rsidR="009F6CD2">
        <w:rPr>
          <w:rFonts w:hAnsi="Times New Roman" w:cs="Times New Roman"/>
          <w:color w:val="auto"/>
          <w:shd w:val="clear" w:color="auto" w:fill="FFFFFF"/>
        </w:rPr>
        <w:t>C</w:t>
      </w:r>
      <w:r w:rsidR="002318AA" w:rsidRPr="00DD1543">
        <w:rPr>
          <w:rFonts w:hAnsi="Times New Roman" w:cs="Times New Roman"/>
          <w:color w:val="auto"/>
          <w:shd w:val="clear" w:color="auto" w:fill="FFFFFF"/>
        </w:rPr>
        <w:t xml:space="preserve">ourt </w:t>
      </w:r>
      <w:r w:rsidR="009F6CD2">
        <w:rPr>
          <w:rFonts w:hAnsi="Times New Roman" w:cs="Times New Roman"/>
          <w:color w:val="auto"/>
          <w:shd w:val="clear" w:color="auto" w:fill="FFFFFF"/>
        </w:rPr>
        <w:t xml:space="preserve">unanimously decided that </w:t>
      </w:r>
      <w:r w:rsidR="002318AA" w:rsidRPr="00DD1543">
        <w:rPr>
          <w:rFonts w:hAnsi="Times New Roman" w:cs="Times New Roman"/>
          <w:color w:val="auto"/>
          <w:shd w:val="clear" w:color="auto" w:fill="FFFFFF"/>
        </w:rPr>
        <w:t>a</w:t>
      </w:r>
      <w:r w:rsidR="002318AA" w:rsidRPr="00DD1543">
        <w:rPr>
          <w:rFonts w:hAnsi="Times New Roman" w:cs="Times New Roman"/>
          <w:i/>
          <w:iCs/>
          <w:color w:val="auto"/>
          <w:shd w:val="clear" w:color="auto" w:fill="FFFFFF"/>
        </w:rPr>
        <w:t> </w:t>
      </w:r>
      <w:r w:rsidR="002318AA" w:rsidRPr="00DD1543">
        <w:rPr>
          <w:rFonts w:hAnsi="Times New Roman" w:cs="Times New Roman"/>
          <w:color w:val="auto"/>
          <w:shd w:val="clear" w:color="auto" w:fill="FFFFFF"/>
        </w:rPr>
        <w:t xml:space="preserve">computer-implemented method of mitigating risk in foreign currency transactions </w:t>
      </w:r>
      <w:r w:rsidR="00105771">
        <w:rPr>
          <w:rFonts w:hAnsi="Times New Roman" w:cs="Times New Roman"/>
          <w:color w:val="auto"/>
          <w:shd w:val="clear" w:color="auto" w:fill="FFFFFF"/>
        </w:rPr>
        <w:t>was</w:t>
      </w:r>
      <w:r w:rsidR="000228FB">
        <w:rPr>
          <w:rFonts w:hAnsi="Times New Roman" w:cs="Times New Roman"/>
          <w:color w:val="auto"/>
          <w:shd w:val="clear" w:color="auto" w:fill="FFFFFF"/>
        </w:rPr>
        <w:t xml:space="preserve"> too abstract to be</w:t>
      </w:r>
      <w:r w:rsidR="009F6CD2">
        <w:rPr>
          <w:rFonts w:hAnsi="Times New Roman" w:cs="Times New Roman"/>
          <w:color w:val="auto"/>
          <w:shd w:val="clear" w:color="auto" w:fill="FFFFFF"/>
        </w:rPr>
        <w:t xml:space="preserve"> </w:t>
      </w:r>
      <w:r w:rsidR="002318AA" w:rsidRPr="00DD1543">
        <w:rPr>
          <w:rFonts w:hAnsi="Times New Roman" w:cs="Times New Roman"/>
          <w:color w:val="auto"/>
          <w:shd w:val="clear" w:color="auto" w:fill="FFFFFF"/>
        </w:rPr>
        <w:t>patentable</w:t>
      </w:r>
      <w:r w:rsidR="002318AA" w:rsidRPr="00DD1543">
        <w:rPr>
          <w:rFonts w:hAnsi="Times New Roman" w:cs="Times New Roman"/>
          <w:i/>
          <w:iCs/>
          <w:color w:val="auto"/>
          <w:shd w:val="clear" w:color="auto" w:fill="FFFFFF"/>
        </w:rPr>
        <w:t>.</w:t>
      </w:r>
      <w:r w:rsidR="00B74394">
        <w:rPr>
          <w:rStyle w:val="FootnoteReference"/>
          <w:rFonts w:hAnsi="Times New Roman" w:cs="Times New Roman"/>
          <w:i/>
          <w:iCs/>
          <w:color w:val="auto"/>
          <w:shd w:val="clear" w:color="auto" w:fill="FFFFFF"/>
        </w:rPr>
        <w:footnoteReference w:id="34"/>
      </w:r>
      <w:r w:rsidR="002318AA" w:rsidRPr="00DD1543">
        <w:rPr>
          <w:rFonts w:hAnsi="Times New Roman" w:cs="Times New Roman"/>
          <w:i/>
          <w:iCs/>
          <w:color w:val="auto"/>
          <w:shd w:val="clear" w:color="auto" w:fill="FFFFFF"/>
        </w:rPr>
        <w:t xml:space="preserve"> </w:t>
      </w:r>
      <w:r w:rsidR="002318AA" w:rsidRPr="00DD1543">
        <w:rPr>
          <w:rFonts w:hAnsi="Times New Roman" w:cs="Times New Roman"/>
          <w:color w:val="auto"/>
        </w:rPr>
        <w:t xml:space="preserve">While the </w:t>
      </w:r>
      <w:r w:rsidR="00AA54C3">
        <w:rPr>
          <w:rFonts w:hAnsi="Times New Roman" w:cs="Times New Roman"/>
          <w:color w:val="auto"/>
        </w:rPr>
        <w:t xml:space="preserve">specifics of </w:t>
      </w:r>
      <w:r w:rsidR="00B87646" w:rsidRPr="00DD1543">
        <w:rPr>
          <w:rFonts w:hAnsi="Times New Roman" w:cs="Times New Roman"/>
          <w:color w:val="auto"/>
        </w:rPr>
        <w:t>line drawing</w:t>
      </w:r>
      <w:r w:rsidR="002318AA" w:rsidRPr="00DD1543">
        <w:rPr>
          <w:rFonts w:hAnsi="Times New Roman" w:cs="Times New Roman"/>
          <w:color w:val="auto"/>
        </w:rPr>
        <w:t xml:space="preserve"> continue to </w:t>
      </w:r>
      <w:r w:rsidR="00AA54C3">
        <w:rPr>
          <w:rFonts w:hAnsi="Times New Roman" w:cs="Times New Roman"/>
          <w:color w:val="auto"/>
        </w:rPr>
        <w:t>challenge</w:t>
      </w:r>
      <w:r w:rsidR="002318AA" w:rsidRPr="00DD1543">
        <w:rPr>
          <w:rFonts w:hAnsi="Times New Roman" w:cs="Times New Roman"/>
          <w:color w:val="auto"/>
        </w:rPr>
        <w:t xml:space="preserve"> courts and patent scholars, the efforts </w:t>
      </w:r>
      <w:r w:rsidR="000D007C">
        <w:rPr>
          <w:rFonts w:hAnsi="Times New Roman" w:cs="Times New Roman"/>
          <w:color w:val="auto"/>
        </w:rPr>
        <w:t>to draw lines</w:t>
      </w:r>
      <w:r w:rsidR="002318AA" w:rsidRPr="00DD1543">
        <w:rPr>
          <w:rFonts w:hAnsi="Times New Roman" w:cs="Times New Roman"/>
          <w:color w:val="auto"/>
        </w:rPr>
        <w:t xml:space="preserve"> are uncontested: patents are not granted to abstract concepts. </w:t>
      </w:r>
      <w:r w:rsidR="0065440E">
        <w:rPr>
          <w:rFonts w:hAnsi="Times New Roman" w:cs="Times New Roman"/>
          <w:color w:val="auto"/>
        </w:rPr>
        <w:t>Similarly, copyright law protects expressions but not abstract ideas</w:t>
      </w:r>
      <w:r w:rsidR="002318AA" w:rsidRPr="00DD1543">
        <w:rPr>
          <w:rFonts w:hAnsi="Times New Roman" w:cs="Times New Roman"/>
          <w:color w:val="auto"/>
        </w:rPr>
        <w:t>. The idea-expression dichotomy was developed early on by the courts, and later incorporated into the Copyright Act of 1976. Section 102(b) of the Act states: “[i]n no case does copyright protection for an original work of authorship extend to any idea, procedure, process, system, method of operation, concept, principle, or discovery, regardless of the form in which it is described, explained, illustrated or embodied in such work.”</w:t>
      </w:r>
      <w:r w:rsidR="002318AA" w:rsidRPr="00DD1543">
        <w:rPr>
          <w:rFonts w:hAnsi="Times New Roman" w:cs="Times New Roman"/>
          <w:color w:val="auto"/>
          <w:vertAlign w:val="superscript"/>
        </w:rPr>
        <w:footnoteReference w:id="35"/>
      </w:r>
      <w:r w:rsidR="00FA747F" w:rsidRPr="00FA747F">
        <w:rPr>
          <w:rFonts w:hAnsi="Times New Roman" w:cs="Times New Roman"/>
          <w:color w:val="auto"/>
        </w:rPr>
        <w:t xml:space="preserve"> </w:t>
      </w:r>
      <w:r w:rsidR="00FA747F">
        <w:rPr>
          <w:rFonts w:hAnsi="Times New Roman" w:cs="Times New Roman"/>
          <w:color w:val="auto"/>
        </w:rPr>
        <w:t>I</w:t>
      </w:r>
      <w:r w:rsidR="00FA747F" w:rsidRPr="00DD1543">
        <w:rPr>
          <w:rFonts w:hAnsi="Times New Roman" w:cs="Times New Roman"/>
          <w:color w:val="auto"/>
        </w:rPr>
        <w:t xml:space="preserve">n other words, </w:t>
      </w:r>
      <w:r w:rsidR="00FA747F">
        <w:rPr>
          <w:rFonts w:hAnsi="Times New Roman" w:cs="Times New Roman"/>
          <w:color w:val="auto"/>
        </w:rPr>
        <w:t>core</w:t>
      </w:r>
      <w:r w:rsidR="00FA747F" w:rsidRPr="00DD1543">
        <w:rPr>
          <w:rFonts w:hAnsi="Times New Roman" w:cs="Times New Roman"/>
          <w:color w:val="auto"/>
        </w:rPr>
        <w:t xml:space="preserve"> IP </w:t>
      </w:r>
      <w:r w:rsidR="00FA747F">
        <w:rPr>
          <w:rFonts w:hAnsi="Times New Roman" w:cs="Times New Roman"/>
          <w:color w:val="auto"/>
        </w:rPr>
        <w:t xml:space="preserve">law </w:t>
      </w:r>
      <w:r w:rsidR="00FA747F" w:rsidRPr="00DD1543">
        <w:rPr>
          <w:rFonts w:hAnsi="Times New Roman" w:cs="Times New Roman"/>
          <w:color w:val="auto"/>
        </w:rPr>
        <w:t xml:space="preserve">would not have </w:t>
      </w:r>
      <w:r w:rsidR="00FA747F">
        <w:rPr>
          <w:rFonts w:hAnsi="Times New Roman" w:cs="Times New Roman"/>
          <w:color w:val="auto"/>
        </w:rPr>
        <w:t>protected</w:t>
      </w:r>
      <w:r w:rsidR="00FA747F" w:rsidRPr="00DD1543">
        <w:rPr>
          <w:rFonts w:hAnsi="Times New Roman" w:cs="Times New Roman"/>
          <w:color w:val="auto"/>
        </w:rPr>
        <w:t xml:space="preserve"> </w:t>
      </w:r>
      <w:r w:rsidR="0054611F">
        <w:rPr>
          <w:rFonts w:hAnsi="Times New Roman" w:cs="Times New Roman"/>
          <w:color w:val="auto"/>
        </w:rPr>
        <w:t>Brown’s</w:t>
      </w:r>
      <w:r w:rsidR="0054611F" w:rsidRPr="00DD1543">
        <w:rPr>
          <w:rFonts w:hAnsi="Times New Roman" w:cs="Times New Roman"/>
          <w:color w:val="auto"/>
        </w:rPr>
        <w:t xml:space="preserve"> </w:t>
      </w:r>
      <w:r w:rsidR="00FA747F" w:rsidRPr="00DD1543">
        <w:rPr>
          <w:rFonts w:hAnsi="Times New Roman" w:cs="Times New Roman"/>
          <w:color w:val="auto"/>
        </w:rPr>
        <w:t>idea.</w:t>
      </w:r>
      <w:r w:rsidR="00FA747F">
        <w:rPr>
          <w:rFonts w:hAnsi="Times New Roman" w:cs="Times New Roman"/>
          <w:color w:val="auto"/>
        </w:rPr>
        <w:t xml:space="preserve"> </w:t>
      </w:r>
    </w:p>
    <w:p w14:paraId="4D4F1126" w14:textId="77777777" w:rsidR="00FA747F" w:rsidRDefault="00FA747F" w:rsidP="00FA747F">
      <w:pPr>
        <w:ind w:firstLine="720"/>
        <w:rPr>
          <w:rFonts w:hAnsi="Times New Roman" w:cs="Times New Roman"/>
          <w:color w:val="auto"/>
        </w:rPr>
      </w:pPr>
    </w:p>
    <w:p w14:paraId="6D51CF7F" w14:textId="77777777" w:rsidR="00FA747F" w:rsidRDefault="002318AA" w:rsidP="00FA747F">
      <w:pPr>
        <w:ind w:firstLine="720"/>
        <w:rPr>
          <w:rFonts w:hAnsi="Times New Roman" w:cs="Times New Roman"/>
          <w:color w:val="auto"/>
        </w:rPr>
      </w:pPr>
      <w:r w:rsidRPr="00DD1543">
        <w:rPr>
          <w:rFonts w:hAnsi="Times New Roman" w:cs="Times New Roman"/>
          <w:color w:val="auto"/>
        </w:rPr>
        <w:t xml:space="preserve">The abstract/concrete and idea/expression distinctions are the heart of the bargain struck in intellectual property. While fine-tuning these lines remains a highly contested and frequently litigated affair, the principle that these lines ought to be policed remains strong in both copyright and patent law. And yet, when we shift our gaze from the traditional pillars of IP to contractual extensions, we uncover a </w:t>
      </w:r>
      <w:r w:rsidR="00C62188">
        <w:rPr>
          <w:rFonts w:hAnsi="Times New Roman" w:cs="Times New Roman"/>
          <w:color w:val="auto"/>
        </w:rPr>
        <w:t>completely</w:t>
      </w:r>
      <w:r w:rsidR="00C62188" w:rsidRPr="00DD1543">
        <w:rPr>
          <w:rFonts w:hAnsi="Times New Roman" w:cs="Times New Roman"/>
          <w:color w:val="auto"/>
        </w:rPr>
        <w:t xml:space="preserve"> </w:t>
      </w:r>
      <w:r w:rsidRPr="00DD1543">
        <w:rPr>
          <w:rFonts w:hAnsi="Times New Roman" w:cs="Times New Roman"/>
          <w:color w:val="auto"/>
        </w:rPr>
        <w:t xml:space="preserve">different picture. </w:t>
      </w:r>
      <w:r w:rsidR="00FA747F">
        <w:rPr>
          <w:rFonts w:hAnsi="Times New Roman" w:cs="Times New Roman"/>
          <w:color w:val="auto"/>
        </w:rPr>
        <w:t xml:space="preserve">Thus, coercing disclosure pursuant to human capital contracts </w:t>
      </w:r>
      <w:r w:rsidR="00FA747F" w:rsidRPr="00DD1543">
        <w:rPr>
          <w:rFonts w:hAnsi="Times New Roman" w:cs="Times New Roman"/>
          <w:color w:val="auto"/>
        </w:rPr>
        <w:t xml:space="preserve">at such an early stage of innovation </w:t>
      </w:r>
      <w:r w:rsidR="00FA747F">
        <w:rPr>
          <w:rFonts w:hAnsi="Times New Roman" w:cs="Times New Roman"/>
          <w:color w:val="auto"/>
        </w:rPr>
        <w:t>appears</w:t>
      </w:r>
      <w:r w:rsidR="00FA747F" w:rsidRPr="00DD1543">
        <w:rPr>
          <w:rFonts w:hAnsi="Times New Roman" w:cs="Times New Roman"/>
          <w:color w:val="auto"/>
        </w:rPr>
        <w:t xml:space="preserve"> technically premature, legally contradictory, and ethically harsh. Pragmatically, and indeed, cynically, the legal result leads to the conclusion that Brown would have been better off</w:t>
      </w:r>
      <w:r w:rsidR="00FA747F">
        <w:rPr>
          <w:rFonts w:hAnsi="Times New Roman" w:cs="Times New Roman"/>
          <w:color w:val="auto"/>
        </w:rPr>
        <w:t xml:space="preserve"> quitting and pursuing the development of his idea on his own, rather than revealing the fact that he had an idea.</w:t>
      </w:r>
      <w:r w:rsidR="00FA747F" w:rsidRPr="00DD1543">
        <w:rPr>
          <w:rFonts w:hAnsi="Times New Roman" w:cs="Times New Roman"/>
          <w:color w:val="auto"/>
        </w:rPr>
        <w:t xml:space="preserve"> Consequently and perversely, transferring ownership of fledgling and individually conceived innovation impede</w:t>
      </w:r>
      <w:r w:rsidR="00FA747F">
        <w:rPr>
          <w:rFonts w:hAnsi="Times New Roman" w:cs="Times New Roman"/>
          <w:color w:val="auto"/>
        </w:rPr>
        <w:t>s</w:t>
      </w:r>
      <w:r w:rsidR="00FA747F" w:rsidRPr="00DD1543">
        <w:rPr>
          <w:rFonts w:hAnsi="Times New Roman" w:cs="Times New Roman"/>
          <w:color w:val="auto"/>
        </w:rPr>
        <w:t xml:space="preserve"> the move from conception to a full blueprint by disincentivizing the very person who possesses the foundational ingredients.</w:t>
      </w:r>
    </w:p>
    <w:p w14:paraId="76921C2A" w14:textId="77777777" w:rsidR="00FA747F" w:rsidRDefault="00FA747F">
      <w:pPr>
        <w:ind w:firstLine="720"/>
        <w:rPr>
          <w:rFonts w:hAnsi="Times New Roman" w:cs="Times New Roman"/>
          <w:color w:val="auto"/>
        </w:rPr>
      </w:pPr>
    </w:p>
    <w:p w14:paraId="5E4F8026" w14:textId="77777777" w:rsidR="00FA747F" w:rsidRPr="00DD1543" w:rsidRDefault="00FA747F">
      <w:pPr>
        <w:ind w:firstLine="720"/>
        <w:rPr>
          <w:rFonts w:hAnsi="Times New Roman" w:cs="Times New Roman"/>
          <w:color w:val="auto"/>
        </w:rPr>
      </w:pPr>
    </w:p>
    <w:p w14:paraId="2AF42C9D" w14:textId="77777777" w:rsidR="007F1F19" w:rsidRPr="00DD1543" w:rsidRDefault="002318AA" w:rsidP="000767A0">
      <w:pPr>
        <w:pStyle w:val="Heading3"/>
        <w:numPr>
          <w:ilvl w:val="2"/>
          <w:numId w:val="9"/>
        </w:numPr>
        <w:rPr>
          <w:color w:val="auto"/>
        </w:rPr>
      </w:pPr>
      <w:bookmarkStart w:id="7" w:name="_Toc399167388"/>
      <w:r w:rsidRPr="00DD1543">
        <w:rPr>
          <w:color w:val="auto"/>
        </w:rPr>
        <w:t>Carter Bryant’s Concept</w:t>
      </w:r>
      <w:r w:rsidR="0033314D">
        <w:rPr>
          <w:color w:val="auto"/>
        </w:rPr>
        <w:t xml:space="preserve">: </w:t>
      </w:r>
      <w:r w:rsidR="0033314D" w:rsidRPr="000767A0">
        <w:rPr>
          <w:i/>
          <w:iCs/>
          <w:color w:val="auto"/>
        </w:rPr>
        <w:t xml:space="preserve">“Whether </w:t>
      </w:r>
      <w:r w:rsidR="0033314D" w:rsidRPr="000767A0">
        <w:rPr>
          <w:i/>
          <w:iCs/>
        </w:rPr>
        <w:t xml:space="preserve">Copyrightable or </w:t>
      </w:r>
      <w:r w:rsidR="000767A0" w:rsidRPr="000767A0">
        <w:rPr>
          <w:i/>
          <w:iCs/>
        </w:rPr>
        <w:t>N</w:t>
      </w:r>
      <w:r w:rsidR="0033314D" w:rsidRPr="000767A0">
        <w:rPr>
          <w:i/>
          <w:iCs/>
        </w:rPr>
        <w:t>o</w:t>
      </w:r>
      <w:r w:rsidR="000767A0" w:rsidRPr="000767A0">
        <w:rPr>
          <w:i/>
          <w:iCs/>
        </w:rPr>
        <w:t>n-</w:t>
      </w:r>
      <w:r w:rsidR="0033314D" w:rsidRPr="000767A0">
        <w:rPr>
          <w:i/>
          <w:iCs/>
        </w:rPr>
        <w:t>Copyrightable”</w:t>
      </w:r>
      <w:bookmarkEnd w:id="7"/>
    </w:p>
    <w:p w14:paraId="746051B5" w14:textId="77777777" w:rsidR="007F1F19" w:rsidRPr="00DD1543" w:rsidRDefault="007F1F19">
      <w:pPr>
        <w:rPr>
          <w:rFonts w:hAnsi="Times New Roman" w:cs="Times New Roman"/>
          <w:color w:val="auto"/>
        </w:rPr>
      </w:pPr>
    </w:p>
    <w:p w14:paraId="2E2B8251" w14:textId="77777777" w:rsidR="007F1F19" w:rsidRPr="00DD1543" w:rsidRDefault="002318AA" w:rsidP="00FA747F">
      <w:pPr>
        <w:ind w:firstLine="720"/>
        <w:rPr>
          <w:rFonts w:hAnsi="Times New Roman" w:cs="Times New Roman"/>
          <w:color w:val="auto"/>
        </w:rPr>
      </w:pPr>
      <w:r w:rsidRPr="00DD1543">
        <w:rPr>
          <w:rFonts w:hAnsi="Times New Roman" w:cs="Times New Roman"/>
          <w:color w:val="auto"/>
        </w:rPr>
        <w:t>Like Evan Brown, Carter Bryant had signed an agreement assigning all his concepts and know-how to his employer, Mattel. Bryant's employment agreement provided</w:t>
      </w:r>
      <w:r w:rsidR="00FA747F">
        <w:rPr>
          <w:rFonts w:hAnsi="Times New Roman" w:cs="Times New Roman"/>
          <w:color w:val="auto"/>
        </w:rPr>
        <w:t>:</w:t>
      </w:r>
      <w:r w:rsidR="000679EB">
        <w:rPr>
          <w:rFonts w:hAnsi="Times New Roman" w:cs="Times New Roman"/>
          <w:color w:val="auto"/>
        </w:rPr>
        <w:t xml:space="preserve"> </w:t>
      </w:r>
    </w:p>
    <w:p w14:paraId="5633371D" w14:textId="77777777" w:rsidR="007F1F19" w:rsidRPr="00DD1543" w:rsidRDefault="007F1F19">
      <w:pPr>
        <w:rPr>
          <w:rFonts w:hAnsi="Times New Roman" w:cs="Times New Roman"/>
          <w:color w:val="auto"/>
        </w:rPr>
      </w:pPr>
    </w:p>
    <w:p w14:paraId="05D63DA3" w14:textId="77777777" w:rsidR="007F1F19" w:rsidRPr="00DD1543" w:rsidRDefault="002318AA" w:rsidP="006E5A7C">
      <w:pPr>
        <w:ind w:left="720" w:firstLine="0"/>
        <w:rPr>
          <w:rFonts w:hAnsi="Times New Roman" w:cs="Times New Roman"/>
          <w:color w:val="auto"/>
        </w:rPr>
      </w:pPr>
      <w:r w:rsidRPr="00DD1543">
        <w:rPr>
          <w:rFonts w:hAnsi="Times New Roman" w:cs="Times New Roman"/>
          <w:color w:val="auto"/>
        </w:rPr>
        <w:t xml:space="preserve">I agree to communicate to the Company as promptly and fully as </w:t>
      </w:r>
      <w:r w:rsidRPr="00DD1543">
        <w:rPr>
          <w:rFonts w:hAnsi="Times New Roman" w:cs="Times New Roman"/>
          <w:color w:val="auto"/>
        </w:rPr>
        <w:lastRenderedPageBreak/>
        <w:t xml:space="preserve">practicable all </w:t>
      </w:r>
      <w:r w:rsidRPr="00DD1543">
        <w:rPr>
          <w:rFonts w:hAnsi="Times New Roman" w:cs="Times New Roman"/>
          <w:i/>
          <w:iCs/>
          <w:color w:val="auto"/>
        </w:rPr>
        <w:t>inventions</w:t>
      </w:r>
      <w:r w:rsidRPr="00DD1543">
        <w:rPr>
          <w:rFonts w:hAnsi="Times New Roman" w:cs="Times New Roman"/>
          <w:color w:val="auto"/>
        </w:rPr>
        <w:t xml:space="preserve"> (as defined below) conceived or reduced to practice by me (alone or jointly by others) at any time during my employment by the Company. I hereby assign to the Company</w:t>
      </w:r>
      <w:r w:rsidR="002D4C51">
        <w:rPr>
          <w:rFonts w:hAnsi="Times New Roman" w:cs="Times New Roman"/>
          <w:color w:val="auto"/>
        </w:rPr>
        <w:t>.</w:t>
      </w:r>
      <w:r w:rsidRPr="00DD1543">
        <w:rPr>
          <w:rFonts w:hAnsi="Times New Roman" w:cs="Times New Roman"/>
          <w:color w:val="auto"/>
        </w:rPr>
        <w:t>... all my right, title and interest in such inventions</w:t>
      </w:r>
      <w:r w:rsidRPr="00DD1543">
        <w:rPr>
          <w:rFonts w:hAnsi="Times New Roman" w:cs="Times New Roman"/>
          <w:i/>
          <w:iCs/>
          <w:color w:val="auto"/>
        </w:rPr>
        <w:t>,</w:t>
      </w:r>
      <w:r w:rsidRPr="00DD1543">
        <w:rPr>
          <w:rFonts w:hAnsi="Times New Roman" w:cs="Times New Roman"/>
          <w:color w:val="auto"/>
        </w:rPr>
        <w:t xml:space="preserve"> and all my right, title and interest in any patents, copyrights, patent applications or copyright applications based thereon.</w:t>
      </w:r>
      <w:r w:rsidR="002F5BA9">
        <w:rPr>
          <w:rStyle w:val="FootnoteReference"/>
          <w:rFonts w:hAnsi="Times New Roman" w:cs="Times New Roman"/>
          <w:color w:val="auto"/>
        </w:rPr>
        <w:footnoteReference w:id="36"/>
      </w:r>
    </w:p>
    <w:p w14:paraId="0707517D" w14:textId="77777777" w:rsidR="007F1F19" w:rsidRPr="00DD1543" w:rsidRDefault="007F1F19">
      <w:pPr>
        <w:rPr>
          <w:rFonts w:hAnsi="Times New Roman" w:cs="Times New Roman"/>
          <w:color w:val="auto"/>
        </w:rPr>
      </w:pPr>
    </w:p>
    <w:p w14:paraId="3ECDCF86" w14:textId="77777777" w:rsidR="007F1F19" w:rsidRPr="00DD1543" w:rsidRDefault="00824321" w:rsidP="00824321">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The contract defined the term `inventions' to include, “but is not limited to”:</w:t>
      </w:r>
    </w:p>
    <w:p w14:paraId="789F1A79" w14:textId="77777777" w:rsidR="007F1F19" w:rsidRPr="00DD1543" w:rsidRDefault="007F1F19">
      <w:pPr>
        <w:rPr>
          <w:rFonts w:hAnsi="Times New Roman" w:cs="Times New Roman"/>
          <w:color w:val="auto"/>
        </w:rPr>
      </w:pPr>
    </w:p>
    <w:p w14:paraId="0AC78926" w14:textId="77777777" w:rsidR="007F1F19" w:rsidRPr="00DD1543" w:rsidRDefault="002318AA" w:rsidP="006E5A7C">
      <w:pPr>
        <w:ind w:left="720" w:firstLine="0"/>
        <w:rPr>
          <w:rFonts w:hAnsi="Times New Roman" w:cs="Times New Roman"/>
          <w:color w:val="auto"/>
        </w:rPr>
      </w:pPr>
      <w:r w:rsidRPr="00DD1543">
        <w:rPr>
          <w:rFonts w:hAnsi="Times New Roman" w:cs="Times New Roman"/>
          <w:color w:val="auto"/>
        </w:rPr>
        <w:t xml:space="preserve">All discoveries, improvements, processes, developments, designs, know-how, data computer programs and formulae, </w:t>
      </w:r>
      <w:r w:rsidRPr="00DD1543">
        <w:rPr>
          <w:rFonts w:hAnsi="Times New Roman" w:cs="Times New Roman"/>
          <w:i/>
          <w:iCs/>
          <w:color w:val="auto"/>
        </w:rPr>
        <w:t>whether patentable or unpatentable.”</w:t>
      </w:r>
      <w:r w:rsidRPr="00DD1543">
        <w:rPr>
          <w:rFonts w:hAnsi="Times New Roman" w:cs="Times New Roman"/>
          <w:color w:val="auto"/>
        </w:rPr>
        <w:t xml:space="preserve"> (emphasis added).</w:t>
      </w:r>
    </w:p>
    <w:p w14:paraId="23E52D94" w14:textId="77777777" w:rsidR="007F1F19" w:rsidRPr="00DD1543" w:rsidRDefault="007F1F19" w:rsidP="00934FFE">
      <w:pPr>
        <w:ind w:firstLine="0"/>
        <w:rPr>
          <w:rFonts w:hAnsi="Times New Roman" w:cs="Times New Roman"/>
          <w:color w:val="auto"/>
        </w:rPr>
      </w:pPr>
    </w:p>
    <w:p w14:paraId="2A125824" w14:textId="77777777" w:rsidR="007F1F19" w:rsidRPr="00DD1543" w:rsidRDefault="0071700E" w:rsidP="0071700E">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Bryant</w:t>
      </w:r>
      <w:r w:rsidR="00C57210">
        <w:rPr>
          <w:rFonts w:hAnsi="Times New Roman" w:cs="Times New Roman"/>
          <w:color w:val="auto"/>
        </w:rPr>
        <w:t xml:space="preserve"> </w:t>
      </w:r>
      <w:r w:rsidR="002318AA" w:rsidRPr="00DD1543">
        <w:rPr>
          <w:rFonts w:hAnsi="Times New Roman" w:cs="Times New Roman"/>
          <w:color w:val="auto"/>
        </w:rPr>
        <w:t>worked a</w:t>
      </w:r>
      <w:r w:rsidR="0019572E">
        <w:rPr>
          <w:rFonts w:hAnsi="Times New Roman" w:cs="Times New Roman"/>
          <w:color w:val="auto"/>
        </w:rPr>
        <w:t>s a fashion and hairstyle designer for high-end Barbie dolls at Mattel for seven years</w:t>
      </w:r>
      <w:r w:rsidR="002318AA" w:rsidRPr="00DD1543">
        <w:rPr>
          <w:rFonts w:hAnsi="Times New Roman" w:cs="Times New Roman"/>
          <w:color w:val="auto"/>
        </w:rPr>
        <w:t xml:space="preserve">. He had an idea for a set of multi-ethnic, trendier </w:t>
      </w:r>
      <w:r w:rsidR="000B4D2E">
        <w:rPr>
          <w:rFonts w:hAnsi="Times New Roman" w:cs="Times New Roman"/>
          <w:color w:val="auto"/>
        </w:rPr>
        <w:t>dolls</w:t>
      </w:r>
      <w:r w:rsidR="00C57210">
        <w:rPr>
          <w:rFonts w:hAnsi="Times New Roman" w:cs="Times New Roman"/>
          <w:color w:val="auto"/>
        </w:rPr>
        <w:t>—</w:t>
      </w:r>
      <w:r w:rsidR="00C57210" w:rsidRPr="00DD1543">
        <w:rPr>
          <w:rFonts w:hAnsi="Times New Roman" w:cs="Times New Roman"/>
          <w:color w:val="auto"/>
        </w:rPr>
        <w:t xml:space="preserve"> </w:t>
      </w:r>
      <w:r w:rsidR="002318AA" w:rsidRPr="00DD1543">
        <w:rPr>
          <w:rFonts w:hAnsi="Times New Roman" w:cs="Times New Roman"/>
          <w:color w:val="auto"/>
        </w:rPr>
        <w:t xml:space="preserve">Zoe, Lupe, Halide, and Jade, who eventually made it to market as Cloe, Yasmin, Sasha and Jade: the first generation of Bratz dolls. While still at Mattel, Bryant made the initial doll designs out of pieces he found in the Mattel recycling bins: a Barbie body and Ken’s boots. </w:t>
      </w:r>
    </w:p>
    <w:p w14:paraId="1CCC1A99" w14:textId="77777777" w:rsidR="007F1F19" w:rsidRPr="00DD1543" w:rsidRDefault="007F1F19">
      <w:pPr>
        <w:rPr>
          <w:rFonts w:hAnsi="Times New Roman" w:cs="Times New Roman"/>
          <w:color w:val="auto"/>
        </w:rPr>
      </w:pPr>
    </w:p>
    <w:p w14:paraId="5D2517ED" w14:textId="77777777" w:rsidR="007F1F19" w:rsidRDefault="006B4557" w:rsidP="00A87C2B">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Bryant pitched the idea of Bratz to MGA Entertainment in 2000 and immediately thereafter left Mattel to work full-time on the development of Bratz. A year later, MGA introduced Bratz to the toy market. Launching a $2 billion lawsuit and decade-long litigation, Mattel sued MGA for ownership over the Bratz empire, claiming that since Bryant </w:t>
      </w:r>
      <w:r w:rsidR="00CA1D7F">
        <w:rPr>
          <w:rFonts w:hAnsi="Times New Roman" w:cs="Times New Roman"/>
          <w:color w:val="auto"/>
        </w:rPr>
        <w:t xml:space="preserve">had signed an agreement under which he assigned all his creative ideas and innovations to his then-employer and </w:t>
      </w:r>
      <w:r w:rsidR="002318AA" w:rsidRPr="00DD1543">
        <w:rPr>
          <w:rFonts w:hAnsi="Times New Roman" w:cs="Times New Roman"/>
          <w:color w:val="auto"/>
        </w:rPr>
        <w:t>created the doll while still a Mattel employee, the doll line, copyright, and trademark, and thereby all profits from its sales belonged to Mattel.</w:t>
      </w:r>
      <w:r w:rsidR="00717FC1">
        <w:rPr>
          <w:rStyle w:val="FootnoteReference"/>
          <w:rFonts w:hAnsi="Times New Roman" w:cs="Times New Roman"/>
          <w:color w:val="auto"/>
        </w:rPr>
        <w:footnoteReference w:id="37"/>
      </w:r>
      <w:r w:rsidR="002318AA" w:rsidRPr="00DD1543">
        <w:rPr>
          <w:rFonts w:hAnsi="Times New Roman" w:cs="Times New Roman"/>
          <w:color w:val="auto"/>
        </w:rPr>
        <w:t xml:space="preserve"> </w:t>
      </w:r>
    </w:p>
    <w:p w14:paraId="7313CFB6" w14:textId="77777777" w:rsidR="00BC3FDF" w:rsidRPr="00DD1543" w:rsidRDefault="00BC3FDF" w:rsidP="00A87C2B">
      <w:pPr>
        <w:ind w:firstLine="0"/>
        <w:rPr>
          <w:rFonts w:hAnsi="Times New Roman" w:cs="Times New Roman"/>
          <w:color w:val="auto"/>
        </w:rPr>
      </w:pPr>
    </w:p>
    <w:p w14:paraId="5A14798B" w14:textId="77777777" w:rsidR="007F1F19" w:rsidRDefault="006B4557" w:rsidP="00A87C2B">
      <w:pPr>
        <w:shd w:val="clear" w:color="auto" w:fill="FFFFFF"/>
        <w:spacing w:before="100" w:after="100"/>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In the first jury trial, the court interpreted Bryant's employment agreement </w:t>
      </w:r>
      <w:r w:rsidR="00A87C2B">
        <w:rPr>
          <w:rFonts w:hAnsi="Times New Roman" w:cs="Times New Roman"/>
          <w:color w:val="auto"/>
        </w:rPr>
        <w:t>as</w:t>
      </w:r>
      <w:r w:rsidR="002318AA" w:rsidRPr="00DD1543">
        <w:rPr>
          <w:rFonts w:hAnsi="Times New Roman" w:cs="Times New Roman"/>
          <w:color w:val="auto"/>
        </w:rPr>
        <w:t xml:space="preserve"> </w:t>
      </w:r>
      <w:r w:rsidR="00A87C2B">
        <w:rPr>
          <w:rFonts w:hAnsi="Times New Roman" w:cs="Times New Roman"/>
          <w:color w:val="auto"/>
        </w:rPr>
        <w:t xml:space="preserve">effectively </w:t>
      </w:r>
      <w:r w:rsidR="002318AA" w:rsidRPr="00DD1543">
        <w:rPr>
          <w:rFonts w:hAnsi="Times New Roman" w:cs="Times New Roman"/>
          <w:color w:val="auto"/>
        </w:rPr>
        <w:t>assign</w:t>
      </w:r>
      <w:r w:rsidR="00A87C2B">
        <w:rPr>
          <w:rFonts w:hAnsi="Times New Roman" w:cs="Times New Roman"/>
          <w:color w:val="auto"/>
        </w:rPr>
        <w:t>ing</w:t>
      </w:r>
      <w:r w:rsidR="002318AA" w:rsidRPr="00DD1543">
        <w:rPr>
          <w:rFonts w:hAnsi="Times New Roman" w:cs="Times New Roman"/>
          <w:color w:val="auto"/>
        </w:rPr>
        <w:t xml:space="preserve"> all possible ideas to Mattel. The </w:t>
      </w:r>
      <w:r w:rsidR="00C57210">
        <w:rPr>
          <w:rFonts w:hAnsi="Times New Roman" w:cs="Times New Roman"/>
          <w:color w:val="auto"/>
        </w:rPr>
        <w:t xml:space="preserve">court instructed the </w:t>
      </w:r>
      <w:r w:rsidR="00A87C2B">
        <w:rPr>
          <w:rFonts w:hAnsi="Times New Roman" w:cs="Times New Roman"/>
          <w:color w:val="auto"/>
        </w:rPr>
        <w:t xml:space="preserve">jury </w:t>
      </w:r>
      <w:r w:rsidR="002318AA" w:rsidRPr="00DD1543">
        <w:rPr>
          <w:rFonts w:hAnsi="Times New Roman" w:cs="Times New Roman"/>
          <w:color w:val="auto"/>
        </w:rPr>
        <w:t xml:space="preserve">to </w:t>
      </w:r>
      <w:r w:rsidR="00A87C2B">
        <w:rPr>
          <w:rFonts w:hAnsi="Times New Roman" w:cs="Times New Roman"/>
          <w:color w:val="auto"/>
        </w:rPr>
        <w:t xml:space="preserve">merely </w:t>
      </w:r>
      <w:r w:rsidR="002318AA" w:rsidRPr="00DD1543">
        <w:rPr>
          <w:rFonts w:hAnsi="Times New Roman" w:cs="Times New Roman"/>
          <w:color w:val="auto"/>
        </w:rPr>
        <w:t xml:space="preserve">decide </w:t>
      </w:r>
      <w:r w:rsidR="002318AA" w:rsidRPr="00DD1543">
        <w:rPr>
          <w:rFonts w:hAnsi="Times New Roman" w:cs="Times New Roman"/>
          <w:i/>
          <w:iCs/>
          <w:color w:val="auto"/>
        </w:rPr>
        <w:t>which</w:t>
      </w:r>
      <w:r w:rsidR="002318AA" w:rsidRPr="00DD1543">
        <w:rPr>
          <w:rFonts w:hAnsi="Times New Roman" w:cs="Times New Roman"/>
          <w:color w:val="auto"/>
        </w:rPr>
        <w:t xml:space="preserve"> ideas Bryant came up with during his time with Mattel. </w:t>
      </w:r>
      <w:r w:rsidR="00A87C2B">
        <w:rPr>
          <w:rFonts w:hAnsi="Times New Roman" w:cs="Times New Roman"/>
          <w:color w:val="auto"/>
        </w:rPr>
        <w:t>The trial</w:t>
      </w:r>
      <w:r w:rsidR="002318AA" w:rsidRPr="00DD1543">
        <w:rPr>
          <w:rFonts w:hAnsi="Times New Roman" w:cs="Times New Roman"/>
          <w:color w:val="auto"/>
        </w:rPr>
        <w:t xml:space="preserve"> court </w:t>
      </w:r>
      <w:r w:rsidR="00A87C2B">
        <w:rPr>
          <w:rFonts w:hAnsi="Times New Roman" w:cs="Times New Roman"/>
          <w:color w:val="auto"/>
        </w:rPr>
        <w:t xml:space="preserve">thereafter </w:t>
      </w:r>
      <w:r w:rsidR="002318AA" w:rsidRPr="00DD1543">
        <w:rPr>
          <w:rFonts w:hAnsi="Times New Roman" w:cs="Times New Roman"/>
          <w:color w:val="auto"/>
        </w:rPr>
        <w:t>imposed a constructive trust over all Bratz-related trademarks and awarded Mattel $100 million stemming from the breach of Bryant’s contract.</w:t>
      </w:r>
      <w:r w:rsidR="0034670A">
        <w:rPr>
          <w:rStyle w:val="FootnoteReference"/>
          <w:rFonts w:hAnsi="Times New Roman" w:cs="Times New Roman"/>
          <w:color w:val="auto"/>
        </w:rPr>
        <w:footnoteReference w:id="38"/>
      </w:r>
    </w:p>
    <w:p w14:paraId="5E87B039" w14:textId="77777777" w:rsidR="00BC3FDF" w:rsidRPr="00DD1543" w:rsidRDefault="00BC3FDF" w:rsidP="00A87C2B">
      <w:pPr>
        <w:shd w:val="clear" w:color="auto" w:fill="FFFFFF"/>
        <w:spacing w:before="100" w:after="100"/>
        <w:ind w:firstLine="0"/>
        <w:rPr>
          <w:rFonts w:hAnsi="Times New Roman" w:cs="Times New Roman"/>
          <w:color w:val="auto"/>
        </w:rPr>
      </w:pPr>
    </w:p>
    <w:p w14:paraId="168055AC" w14:textId="77777777" w:rsidR="007F1F19" w:rsidRPr="00DD1543" w:rsidRDefault="002318AA" w:rsidP="00A87C2B">
      <w:pPr>
        <w:ind w:firstLine="720"/>
        <w:rPr>
          <w:rFonts w:hAnsi="Times New Roman" w:cs="Times New Roman"/>
          <w:color w:val="auto"/>
        </w:rPr>
      </w:pPr>
      <w:r w:rsidRPr="00DD1543">
        <w:rPr>
          <w:rFonts w:hAnsi="Times New Roman" w:cs="Times New Roman"/>
          <w:color w:val="auto"/>
        </w:rPr>
        <w:t>On appeal, Judge Kozinski</w:t>
      </w:r>
      <w:r w:rsidR="00C57210">
        <w:rPr>
          <w:rFonts w:hAnsi="Times New Roman" w:cs="Times New Roman"/>
          <w:color w:val="auto"/>
        </w:rPr>
        <w:t xml:space="preserve"> </w:t>
      </w:r>
      <w:r w:rsidR="00451AC5">
        <w:rPr>
          <w:rFonts w:hAnsi="Times New Roman" w:cs="Times New Roman"/>
          <w:color w:val="auto"/>
        </w:rPr>
        <w:t xml:space="preserve">turned to conventional contract interpretation </w:t>
      </w:r>
      <w:r w:rsidRPr="00DD1543">
        <w:rPr>
          <w:rFonts w:hAnsi="Times New Roman" w:cs="Times New Roman"/>
          <w:color w:val="auto"/>
        </w:rPr>
        <w:t>in an att</w:t>
      </w:r>
      <w:r w:rsidR="00A87C2B">
        <w:rPr>
          <w:rFonts w:hAnsi="Times New Roman" w:cs="Times New Roman"/>
          <w:color w:val="auto"/>
        </w:rPr>
        <w:t xml:space="preserve">empt to determine whether ideas, regardless of their patentability or copyrightability, </w:t>
      </w:r>
      <w:r w:rsidRPr="00DD1543">
        <w:rPr>
          <w:rFonts w:hAnsi="Times New Roman" w:cs="Times New Roman"/>
          <w:color w:val="auto"/>
        </w:rPr>
        <w:t>were included in the pre-invention assignment agreements</w:t>
      </w:r>
      <w:r w:rsidR="00451AC5">
        <w:rPr>
          <w:rFonts w:hAnsi="Times New Roman" w:cs="Times New Roman"/>
          <w:color w:val="auto"/>
        </w:rPr>
        <w:t xml:space="preserve">. </w:t>
      </w:r>
      <w:r w:rsidRPr="00DD1543">
        <w:rPr>
          <w:rFonts w:hAnsi="Times New Roman" w:cs="Times New Roman"/>
          <w:color w:val="auto"/>
        </w:rPr>
        <w:t xml:space="preserve">He noted the lack of the word “ideas” in the </w:t>
      </w:r>
      <w:r w:rsidR="00A87C2B">
        <w:rPr>
          <w:rFonts w:hAnsi="Times New Roman" w:cs="Times New Roman"/>
          <w:color w:val="auto"/>
        </w:rPr>
        <w:t xml:space="preserve">contract itself. But he also noted </w:t>
      </w:r>
      <w:r w:rsidRPr="00DD1543">
        <w:rPr>
          <w:rFonts w:hAnsi="Times New Roman" w:cs="Times New Roman"/>
          <w:color w:val="auto"/>
        </w:rPr>
        <w:t xml:space="preserve">the emphasis in the contract that the list </w:t>
      </w:r>
      <w:r w:rsidR="00A11510">
        <w:rPr>
          <w:rFonts w:hAnsi="Times New Roman" w:cs="Times New Roman"/>
          <w:color w:val="auto"/>
        </w:rPr>
        <w:t>was</w:t>
      </w:r>
      <w:r w:rsidRPr="00DD1543">
        <w:rPr>
          <w:rFonts w:hAnsi="Times New Roman" w:cs="Times New Roman"/>
          <w:color w:val="auto"/>
        </w:rPr>
        <w:t xml:space="preserve"> not meant to be finite. Judge Kozinski thereafter compared the other categories </w:t>
      </w:r>
      <w:r w:rsidR="00A87C2B">
        <w:rPr>
          <w:rFonts w:hAnsi="Times New Roman" w:cs="Times New Roman"/>
          <w:color w:val="auto"/>
        </w:rPr>
        <w:t xml:space="preserve">listed against the term </w:t>
      </w:r>
      <w:r w:rsidR="00A87C2B" w:rsidRPr="00A87C2B">
        <w:rPr>
          <w:rFonts w:hAnsi="Times New Roman" w:cs="Times New Roman"/>
          <w:i/>
          <w:iCs/>
          <w:color w:val="auto"/>
        </w:rPr>
        <w:t>ideas</w:t>
      </w:r>
      <w:r w:rsidR="00A87C2B">
        <w:rPr>
          <w:rFonts w:hAnsi="Times New Roman" w:cs="Times New Roman"/>
          <w:color w:val="auto"/>
        </w:rPr>
        <w:t>:</w:t>
      </w:r>
      <w:r w:rsidRPr="00DD1543">
        <w:rPr>
          <w:rFonts w:hAnsi="Times New Roman" w:cs="Times New Roman"/>
          <w:color w:val="auto"/>
        </w:rPr>
        <w:t xml:space="preserve"> </w:t>
      </w:r>
    </w:p>
    <w:p w14:paraId="54636E97" w14:textId="77777777" w:rsidR="007F1F19" w:rsidRPr="00DD1543" w:rsidRDefault="007F1F19">
      <w:pPr>
        <w:rPr>
          <w:rFonts w:hAnsi="Times New Roman" w:cs="Times New Roman"/>
          <w:color w:val="auto"/>
        </w:rPr>
      </w:pPr>
    </w:p>
    <w:p w14:paraId="05967F29" w14:textId="77777777" w:rsidR="007F1F19" w:rsidRPr="00DD1543" w:rsidRDefault="002318AA">
      <w:pPr>
        <w:ind w:left="720" w:firstLine="0"/>
        <w:rPr>
          <w:rFonts w:hAnsi="Times New Roman" w:cs="Times New Roman"/>
          <w:color w:val="auto"/>
        </w:rPr>
      </w:pPr>
      <w:r w:rsidRPr="00DD1543">
        <w:rPr>
          <w:rFonts w:hAnsi="Times New Roman" w:cs="Times New Roman"/>
          <w:color w:val="auto"/>
        </w:rPr>
        <w:t>Designs, processes, computer programs and formulae are concrete, unlike ideas, which are ephemeral and often reflect bursts of inspiration that exist only in the mind. On the other hand, the agreement also lists less tangible inventions such as “know-how” and “discoveries</w:t>
      </w:r>
      <w:r w:rsidR="00C76C36">
        <w:rPr>
          <w:rFonts w:hAnsi="Times New Roman" w:cs="Times New Roman"/>
          <w:color w:val="auto"/>
        </w:rPr>
        <w:t>.</w:t>
      </w:r>
      <w:r w:rsidRPr="00DD1543">
        <w:rPr>
          <w:rFonts w:hAnsi="Times New Roman" w:cs="Times New Roman"/>
          <w:color w:val="auto"/>
        </w:rPr>
        <w:t>”</w:t>
      </w:r>
      <w:r w:rsidRPr="00DD1543">
        <w:rPr>
          <w:rFonts w:hAnsi="Times New Roman" w:cs="Times New Roman"/>
          <w:color w:val="auto"/>
          <w:vertAlign w:val="superscript"/>
        </w:rPr>
        <w:footnoteReference w:id="39"/>
      </w:r>
    </w:p>
    <w:p w14:paraId="7998F55F" w14:textId="77777777" w:rsidR="007F1F19" w:rsidRPr="00DD1543" w:rsidRDefault="007F1F19">
      <w:pPr>
        <w:ind w:firstLine="720"/>
        <w:rPr>
          <w:rFonts w:hAnsi="Times New Roman" w:cs="Times New Roman"/>
          <w:color w:val="auto"/>
        </w:rPr>
      </w:pPr>
    </w:p>
    <w:p w14:paraId="7C0A4787" w14:textId="6ACA4554" w:rsidR="007F1F19" w:rsidRPr="00DD1543" w:rsidRDefault="002318AA" w:rsidP="003E04D2">
      <w:pPr>
        <w:ind w:firstLine="720"/>
        <w:rPr>
          <w:rFonts w:hAnsi="Times New Roman" w:cs="Times New Roman"/>
          <w:color w:val="auto"/>
        </w:rPr>
      </w:pPr>
      <w:r w:rsidRPr="00DD1543">
        <w:rPr>
          <w:rFonts w:hAnsi="Times New Roman" w:cs="Times New Roman"/>
          <w:color w:val="auto"/>
        </w:rPr>
        <w:t xml:space="preserve">Judge Kozinski </w:t>
      </w:r>
      <w:r w:rsidR="00C57210">
        <w:rPr>
          <w:rFonts w:hAnsi="Times New Roman" w:cs="Times New Roman"/>
          <w:color w:val="auto"/>
        </w:rPr>
        <w:t xml:space="preserve">further </w:t>
      </w:r>
      <w:r w:rsidRPr="00DD1543">
        <w:rPr>
          <w:rFonts w:hAnsi="Times New Roman" w:cs="Times New Roman"/>
          <w:color w:val="auto"/>
        </w:rPr>
        <w:t>inquire</w:t>
      </w:r>
      <w:r w:rsidR="00C57210">
        <w:rPr>
          <w:rFonts w:hAnsi="Times New Roman" w:cs="Times New Roman"/>
          <w:color w:val="auto"/>
        </w:rPr>
        <w:t>d</w:t>
      </w:r>
      <w:r w:rsidRPr="00DD1543">
        <w:rPr>
          <w:rFonts w:hAnsi="Times New Roman" w:cs="Times New Roman"/>
          <w:color w:val="auto"/>
        </w:rPr>
        <w:t xml:space="preserve"> on the right </w:t>
      </w:r>
      <w:r w:rsidR="00C57210">
        <w:rPr>
          <w:rFonts w:hAnsi="Times New Roman" w:cs="Times New Roman"/>
          <w:color w:val="auto"/>
        </w:rPr>
        <w:t>method</w:t>
      </w:r>
      <w:r w:rsidR="00C57210" w:rsidRPr="00DD1543">
        <w:rPr>
          <w:rFonts w:hAnsi="Times New Roman" w:cs="Times New Roman"/>
          <w:color w:val="auto"/>
        </w:rPr>
        <w:t xml:space="preserve"> </w:t>
      </w:r>
      <w:r w:rsidRPr="00DD1543">
        <w:rPr>
          <w:rFonts w:hAnsi="Times New Roman" w:cs="Times New Roman"/>
          <w:color w:val="auto"/>
        </w:rPr>
        <w:t>to interpret the contract by emphasizing the contractual word “conceived,” which he interpreted as suggesting</w:t>
      </w:r>
      <w:r w:rsidR="00B16D10">
        <w:rPr>
          <w:rFonts w:hAnsi="Times New Roman" w:cs="Times New Roman"/>
          <w:color w:val="auto"/>
        </w:rPr>
        <w:t xml:space="preserve"> </w:t>
      </w:r>
      <w:r w:rsidRPr="00DD1543">
        <w:rPr>
          <w:rFonts w:hAnsi="Times New Roman" w:cs="Times New Roman"/>
          <w:color w:val="auto"/>
        </w:rPr>
        <w:t>“Bryant may have conveyed rights in innovations that were not embodied in a tangible form by assigning inventions he “conceived” as well as those he reduced to practice.”</w:t>
      </w:r>
      <w:r w:rsidR="00A87C2B">
        <w:rPr>
          <w:rStyle w:val="FootnoteReference"/>
          <w:rFonts w:hAnsi="Times New Roman" w:cs="Times New Roman"/>
          <w:color w:val="auto"/>
        </w:rPr>
        <w:footnoteReference w:id="40"/>
      </w:r>
      <w:r w:rsidRPr="00DD1543">
        <w:rPr>
          <w:rFonts w:hAnsi="Times New Roman" w:cs="Times New Roman"/>
          <w:color w:val="auto"/>
        </w:rPr>
        <w:t xml:space="preserve"> Judge Kozinski sent these inquiries back for a second jury trial that </w:t>
      </w:r>
      <w:r w:rsidRPr="00385116">
        <w:rPr>
          <w:rFonts w:hAnsi="Times New Roman" w:cs="Times New Roman"/>
          <w:color w:val="auto"/>
        </w:rPr>
        <w:t>would look</w:t>
      </w:r>
      <w:r w:rsidRPr="00DD1543">
        <w:rPr>
          <w:rFonts w:hAnsi="Times New Roman" w:cs="Times New Roman"/>
          <w:color w:val="auto"/>
        </w:rPr>
        <w:t xml:space="preserve"> into the contract interpretation more carefully.</w:t>
      </w:r>
      <w:r w:rsidR="003E04D2">
        <w:rPr>
          <w:rStyle w:val="FootnoteReference"/>
          <w:rFonts w:hAnsi="Times New Roman" w:cs="Times New Roman"/>
          <w:color w:val="auto"/>
        </w:rPr>
        <w:footnoteReference w:id="41"/>
      </w:r>
      <w:r w:rsidRPr="00DD1543">
        <w:rPr>
          <w:rFonts w:hAnsi="Times New Roman" w:cs="Times New Roman"/>
          <w:color w:val="auto"/>
        </w:rPr>
        <w:t xml:space="preserve"> In other words, Judge Kozinski, in overturning the first jury trial, supported a better-drafted contract that could fence up all ideas, abstract and ephemeral. </w:t>
      </w:r>
    </w:p>
    <w:p w14:paraId="3166F65D" w14:textId="77777777" w:rsidR="007F1F19" w:rsidRPr="00DD1543" w:rsidRDefault="007F1F19">
      <w:pPr>
        <w:ind w:firstLine="720"/>
        <w:rPr>
          <w:rFonts w:hAnsi="Times New Roman" w:cs="Times New Roman"/>
          <w:color w:val="auto"/>
        </w:rPr>
      </w:pPr>
    </w:p>
    <w:p w14:paraId="56060C0D" w14:textId="77777777" w:rsidR="007F1F19" w:rsidRPr="00DD1543" w:rsidRDefault="002318AA" w:rsidP="00903D7B">
      <w:pPr>
        <w:ind w:firstLine="720"/>
        <w:rPr>
          <w:rFonts w:hAnsi="Times New Roman" w:cs="Times New Roman"/>
          <w:color w:val="auto"/>
        </w:rPr>
      </w:pPr>
      <w:r w:rsidRPr="00385116">
        <w:rPr>
          <w:rFonts w:hAnsi="Times New Roman" w:cs="Times New Roman"/>
          <w:color w:val="auto"/>
        </w:rPr>
        <w:t xml:space="preserve">Strikingly, in the very same decision, Judge Kozinski warned about the chilling effect of overly broad copyright protection. As we have come to expect from the </w:t>
      </w:r>
      <w:r w:rsidR="00093210">
        <w:rPr>
          <w:rFonts w:hAnsi="Times New Roman" w:cs="Times New Roman"/>
          <w:color w:val="auto"/>
        </w:rPr>
        <w:t>J</w:t>
      </w:r>
      <w:r w:rsidRPr="00385116">
        <w:rPr>
          <w:rFonts w:hAnsi="Times New Roman" w:cs="Times New Roman"/>
          <w:color w:val="auto"/>
        </w:rPr>
        <w:t>udge’s significant lineage of intellectual property holdings,</w:t>
      </w:r>
      <w:r w:rsidR="00A452FA">
        <w:rPr>
          <w:rStyle w:val="FootnoteReference"/>
          <w:rFonts w:hAnsi="Times New Roman" w:cs="Times New Roman"/>
          <w:color w:val="auto"/>
        </w:rPr>
        <w:footnoteReference w:id="42"/>
      </w:r>
      <w:r w:rsidRPr="00385116">
        <w:rPr>
          <w:rFonts w:hAnsi="Times New Roman" w:cs="Times New Roman"/>
          <w:color w:val="auto"/>
        </w:rPr>
        <w:t xml:space="preserve"> Judge Kozinski </w:t>
      </w:r>
      <w:r w:rsidR="00903D7B">
        <w:rPr>
          <w:rFonts w:hAnsi="Times New Roman" w:cs="Times New Roman"/>
          <w:color w:val="auto"/>
        </w:rPr>
        <w:t>was</w:t>
      </w:r>
      <w:r w:rsidRPr="00385116">
        <w:rPr>
          <w:rFonts w:hAnsi="Times New Roman" w:cs="Times New Roman"/>
          <w:color w:val="auto"/>
        </w:rPr>
        <w:t xml:space="preserve"> well aware of the threat that strong controls over information pose to innovatio</w:t>
      </w:r>
      <w:r w:rsidR="00903D7B">
        <w:rPr>
          <w:rFonts w:hAnsi="Times New Roman" w:cs="Times New Roman"/>
          <w:color w:val="auto"/>
        </w:rPr>
        <w:t xml:space="preserve">n and creativity. When he turned </w:t>
      </w:r>
      <w:r w:rsidRPr="00385116">
        <w:rPr>
          <w:rFonts w:hAnsi="Times New Roman" w:cs="Times New Roman"/>
          <w:color w:val="auto"/>
        </w:rPr>
        <w:t>to the actual drawings of the Bratz dolls that Bryant had sketche</w:t>
      </w:r>
      <w:r w:rsidR="00903D7B">
        <w:rPr>
          <w:rFonts w:hAnsi="Times New Roman" w:cs="Times New Roman"/>
          <w:color w:val="auto"/>
        </w:rPr>
        <w:t>d and sold to MGA, he emphasized</w:t>
      </w:r>
      <w:r w:rsidRPr="00385116">
        <w:rPr>
          <w:rFonts w:hAnsi="Times New Roman" w:cs="Times New Roman"/>
          <w:color w:val="auto"/>
        </w:rPr>
        <w:t xml:space="preserve"> the idea/expression distinction at the core of copyright law:</w:t>
      </w:r>
    </w:p>
    <w:p w14:paraId="41092664" w14:textId="77777777" w:rsidR="007F1F19" w:rsidRPr="00DD1543" w:rsidRDefault="007F1F19">
      <w:pPr>
        <w:ind w:left="720" w:right="720"/>
        <w:rPr>
          <w:rFonts w:hAnsi="Times New Roman" w:cs="Times New Roman"/>
          <w:color w:val="auto"/>
        </w:rPr>
      </w:pPr>
    </w:p>
    <w:p w14:paraId="171291BD" w14:textId="77777777" w:rsidR="007F1F19" w:rsidRPr="00DD1543" w:rsidRDefault="002318AA">
      <w:pPr>
        <w:ind w:left="720" w:right="720" w:firstLine="0"/>
        <w:rPr>
          <w:rFonts w:hAnsi="Times New Roman" w:cs="Times New Roman"/>
          <w:color w:val="auto"/>
        </w:rPr>
      </w:pPr>
      <w:r w:rsidRPr="00DD1543">
        <w:rPr>
          <w:rFonts w:hAnsi="Times New Roman" w:cs="Times New Roman"/>
          <w:color w:val="auto"/>
        </w:rPr>
        <w:t xml:space="preserve">Degas can't prohibit other artists from painting ballerinas, and Charlaine Harris can't stop Stephanie Meyer from publishing </w:t>
      </w:r>
      <w:r w:rsidRPr="00DD1543">
        <w:rPr>
          <w:rFonts w:hAnsi="Times New Roman" w:cs="Times New Roman"/>
          <w:i/>
          <w:iCs/>
          <w:color w:val="auto"/>
        </w:rPr>
        <w:t>Twilight</w:t>
      </w:r>
      <w:r w:rsidRPr="00DD1543">
        <w:rPr>
          <w:rFonts w:hAnsi="Times New Roman" w:cs="Times New Roman"/>
          <w:color w:val="auto"/>
        </w:rPr>
        <w:t xml:space="preserve"> just because Sookie came first. Similarly, MGA was free to look at Bryant's sketches and say, “Good idea! We want to create bratty dolls too.”</w:t>
      </w:r>
      <w:r w:rsidR="005D22B1">
        <w:rPr>
          <w:rStyle w:val="FootnoteReference"/>
          <w:rFonts w:hAnsi="Times New Roman" w:cs="Times New Roman"/>
          <w:color w:val="auto"/>
        </w:rPr>
        <w:footnoteReference w:id="43"/>
      </w:r>
    </w:p>
    <w:p w14:paraId="3E6DB71C" w14:textId="77777777" w:rsidR="007F1F19" w:rsidRPr="00DD1543" w:rsidRDefault="007F1F19">
      <w:pPr>
        <w:ind w:firstLine="720"/>
        <w:rPr>
          <w:rFonts w:hAnsi="Times New Roman" w:cs="Times New Roman"/>
          <w:color w:val="auto"/>
        </w:rPr>
      </w:pPr>
    </w:p>
    <w:p w14:paraId="12167089" w14:textId="77777777" w:rsidR="007F1F19" w:rsidRDefault="002318AA">
      <w:pPr>
        <w:ind w:firstLine="720"/>
        <w:rPr>
          <w:rFonts w:hAnsi="Times New Roman" w:cs="Times New Roman"/>
          <w:color w:val="auto"/>
        </w:rPr>
      </w:pPr>
      <w:r w:rsidRPr="00385116">
        <w:rPr>
          <w:rFonts w:hAnsi="Times New Roman" w:cs="Times New Roman"/>
          <w:color w:val="auto"/>
        </w:rPr>
        <w:t xml:space="preserve">And yet, the same decision gives a </w:t>
      </w:r>
      <w:r w:rsidR="00984846" w:rsidRPr="00385116">
        <w:rPr>
          <w:rFonts w:hAnsi="Times New Roman" w:cs="Times New Roman"/>
          <w:color w:val="auto"/>
        </w:rPr>
        <w:t>well-drafted</w:t>
      </w:r>
      <w:r w:rsidR="00093210">
        <w:rPr>
          <w:rFonts w:hAnsi="Times New Roman" w:cs="Times New Roman"/>
          <w:color w:val="auto"/>
        </w:rPr>
        <w:t xml:space="preserve"> </w:t>
      </w:r>
      <w:r w:rsidRPr="00385116">
        <w:rPr>
          <w:rFonts w:hAnsi="Times New Roman" w:cs="Times New Roman"/>
          <w:color w:val="auto"/>
        </w:rPr>
        <w:t>contract</w:t>
      </w:r>
      <w:r w:rsidR="00093210">
        <w:rPr>
          <w:rFonts w:hAnsi="Times New Roman" w:cs="Times New Roman"/>
          <w:color w:val="auto"/>
        </w:rPr>
        <w:t xml:space="preserve"> </w:t>
      </w:r>
      <w:r w:rsidRPr="00385116">
        <w:rPr>
          <w:rFonts w:hAnsi="Times New Roman" w:cs="Times New Roman"/>
          <w:color w:val="auto"/>
        </w:rPr>
        <w:t>the power to pre-assign far more than what is, as expressly stated in the contract, patentable or copyrightable.</w:t>
      </w:r>
    </w:p>
    <w:p w14:paraId="01E7F690" w14:textId="77777777" w:rsidR="00BC3FDF" w:rsidRPr="00DD1543" w:rsidRDefault="00BC3FDF">
      <w:pPr>
        <w:ind w:firstLine="720"/>
        <w:rPr>
          <w:rFonts w:hAnsi="Times New Roman" w:cs="Times New Roman"/>
          <w:color w:val="auto"/>
        </w:rPr>
      </w:pPr>
    </w:p>
    <w:p w14:paraId="3AEAAE08" w14:textId="77777777" w:rsidR="007F1F19" w:rsidRDefault="002318AA" w:rsidP="00C24430">
      <w:pPr>
        <w:shd w:val="clear" w:color="auto" w:fill="FFFFFF"/>
        <w:spacing w:before="100" w:after="100"/>
        <w:ind w:firstLine="720"/>
        <w:rPr>
          <w:rFonts w:hAnsi="Times New Roman" w:cs="Times New Roman"/>
          <w:color w:val="auto"/>
        </w:rPr>
      </w:pPr>
      <w:r w:rsidRPr="00DD1543">
        <w:rPr>
          <w:rFonts w:hAnsi="Times New Roman" w:cs="Times New Roman"/>
          <w:color w:val="auto"/>
        </w:rPr>
        <w:t>This gap between the scope of intellectual property and the scope of contractual pre-innovation assignment is illuminating. Like Evan Brown, Carter Bryant had an idea for a different product in his respective industry. Brown’s idea was patentable only once it became more than an abstract idea solely in his mind, while Bryant’s idea, a new product line, was copyrightable only once it was penned and drawn on paper, and even then, only the expression, not the concept and idea</w:t>
      </w:r>
      <w:r w:rsidR="00A11510">
        <w:rPr>
          <w:rFonts w:hAnsi="Times New Roman" w:cs="Times New Roman"/>
          <w:color w:val="auto"/>
        </w:rPr>
        <w:t>,</w:t>
      </w:r>
      <w:r w:rsidRPr="00DD1543">
        <w:rPr>
          <w:rFonts w:hAnsi="Times New Roman" w:cs="Times New Roman"/>
          <w:color w:val="auto"/>
        </w:rPr>
        <w:t xml:space="preserve"> were protected by copyright law. </w:t>
      </w:r>
    </w:p>
    <w:p w14:paraId="582339D4" w14:textId="1C76C744" w:rsidR="007F1F19" w:rsidRDefault="002318AA" w:rsidP="0041237E">
      <w:pPr>
        <w:shd w:val="clear" w:color="auto" w:fill="FFFFFF"/>
        <w:spacing w:before="100" w:after="100"/>
        <w:ind w:firstLine="720"/>
        <w:rPr>
          <w:rFonts w:hAnsi="Times New Roman" w:cs="Times New Roman"/>
          <w:color w:val="auto"/>
        </w:rPr>
      </w:pPr>
      <w:r w:rsidRPr="00DD1543">
        <w:rPr>
          <w:rFonts w:hAnsi="Times New Roman" w:cs="Times New Roman"/>
          <w:color w:val="auto"/>
        </w:rPr>
        <w:t>The explicit subversion of the lines drawn in patent and copyright law in the drafting of assignment agreements is increasingly standard. Google</w:t>
      </w:r>
      <w:r w:rsidR="00B02429">
        <w:rPr>
          <w:rFonts w:hAnsi="Times New Roman" w:cs="Times New Roman"/>
          <w:color w:val="auto"/>
        </w:rPr>
        <w:t>,</w:t>
      </w:r>
      <w:r w:rsidRPr="00DD1543">
        <w:rPr>
          <w:rFonts w:hAnsi="Times New Roman" w:cs="Times New Roman"/>
          <w:color w:val="auto"/>
        </w:rPr>
        <w:t xml:space="preserve"> for example</w:t>
      </w:r>
      <w:r w:rsidR="00B02429">
        <w:rPr>
          <w:rFonts w:hAnsi="Times New Roman" w:cs="Times New Roman"/>
          <w:color w:val="auto"/>
        </w:rPr>
        <w:t>,</w:t>
      </w:r>
      <w:r w:rsidRPr="00DD1543">
        <w:rPr>
          <w:rFonts w:hAnsi="Times New Roman" w:cs="Times New Roman"/>
          <w:color w:val="auto"/>
        </w:rPr>
        <w:t xml:space="preserve"> requires its employees to sign an ass</w:t>
      </w:r>
      <w:r w:rsidR="00A53588">
        <w:rPr>
          <w:rFonts w:hAnsi="Times New Roman" w:cs="Times New Roman"/>
          <w:color w:val="auto"/>
        </w:rPr>
        <w:t>ignment agreement that defines “inventions”</w:t>
      </w:r>
      <w:r w:rsidRPr="00DD1543">
        <w:rPr>
          <w:rFonts w:hAnsi="Times New Roman" w:cs="Times New Roman"/>
          <w:color w:val="auto"/>
        </w:rPr>
        <w:t xml:space="preserve"> to include, “inventions, designs, developments, ideas, concepts, techniques, devices, discoveries, formulae, processes, improvements, writings, records, original works of authorship, trademarks, trade secrets, all related know-how, and any other intellectual property, </w:t>
      </w:r>
      <w:r w:rsidRPr="00DD1543">
        <w:rPr>
          <w:rFonts w:hAnsi="Times New Roman" w:cs="Times New Roman"/>
          <w:i/>
          <w:iCs/>
          <w:color w:val="auto"/>
        </w:rPr>
        <w:t>whether or not patentable or regist</w:t>
      </w:r>
      <w:r w:rsidR="007F6F74">
        <w:rPr>
          <w:rFonts w:hAnsi="Times New Roman" w:cs="Times New Roman"/>
          <w:i/>
          <w:iCs/>
          <w:color w:val="auto"/>
        </w:rPr>
        <w:t>e</w:t>
      </w:r>
      <w:r w:rsidRPr="00DD1543">
        <w:rPr>
          <w:rFonts w:hAnsi="Times New Roman" w:cs="Times New Roman"/>
          <w:i/>
          <w:iCs/>
          <w:color w:val="auto"/>
        </w:rPr>
        <w:t>rable under patent, copyright, or similar laws</w:t>
      </w:r>
      <w:r w:rsidRPr="00DD1543">
        <w:rPr>
          <w:rFonts w:hAnsi="Times New Roman" w:cs="Times New Roman"/>
          <w:color w:val="auto"/>
        </w:rPr>
        <w:t>.”</w:t>
      </w:r>
      <w:bookmarkStart w:id="8" w:name="_Ref265933612"/>
      <w:r w:rsidRPr="00DD1543">
        <w:rPr>
          <w:rFonts w:hAnsi="Times New Roman" w:cs="Times New Roman"/>
          <w:color w:val="auto"/>
          <w:vertAlign w:val="superscript"/>
        </w:rPr>
        <w:footnoteReference w:id="44"/>
      </w:r>
      <w:bookmarkEnd w:id="8"/>
      <w:r w:rsidRPr="00DD1543">
        <w:rPr>
          <w:rFonts w:hAnsi="Times New Roman" w:cs="Times New Roman"/>
          <w:color w:val="auto"/>
        </w:rPr>
        <w:t xml:space="preserve"> </w:t>
      </w:r>
      <w:r w:rsidRPr="004604B6">
        <w:rPr>
          <w:rFonts w:hAnsi="Times New Roman" w:cs="Times New Roman"/>
          <w:color w:val="auto"/>
        </w:rPr>
        <w:t xml:space="preserve">Both </w:t>
      </w:r>
      <w:r w:rsidRPr="004604B6">
        <w:rPr>
          <w:rFonts w:hAnsi="Times New Roman" w:cs="Times New Roman"/>
          <w:color w:val="auto"/>
        </w:rPr>
        <w:lastRenderedPageBreak/>
        <w:t xml:space="preserve">the patent assignment dispute over Evan Brown’s algorithm and the copyright dispute over Carter’s concept of Bratz </w:t>
      </w:r>
      <w:r w:rsidR="00A53588" w:rsidRPr="004604B6">
        <w:rPr>
          <w:rFonts w:hAnsi="Times New Roman" w:cs="Times New Roman"/>
          <w:color w:val="auto"/>
        </w:rPr>
        <w:t>illustrate the way the bargain struck in intellectual property law has been subverted in human capital law</w:t>
      </w:r>
      <w:r w:rsidR="004604B6" w:rsidRPr="004604B6">
        <w:rPr>
          <w:rFonts w:hAnsi="Times New Roman" w:cs="Times New Roman"/>
          <w:color w:val="auto"/>
        </w:rPr>
        <w:t>.</w:t>
      </w:r>
      <w:r w:rsidR="00A53588" w:rsidRPr="004604B6">
        <w:rPr>
          <w:rFonts w:hAnsi="Times New Roman" w:cs="Times New Roman"/>
          <w:color w:val="auto"/>
        </w:rPr>
        <w:t xml:space="preserve"> </w:t>
      </w:r>
      <w:r w:rsidR="004604B6" w:rsidRPr="004604B6">
        <w:rPr>
          <w:rFonts w:hAnsi="Times New Roman" w:cs="Times New Roman"/>
          <w:color w:val="auto"/>
        </w:rPr>
        <w:t>Th</w:t>
      </w:r>
      <w:r w:rsidR="006A29EC">
        <w:rPr>
          <w:rFonts w:hAnsi="Times New Roman" w:cs="Times New Roman"/>
          <w:color w:val="auto"/>
        </w:rPr>
        <w:t>e standard human capital agreements</w:t>
      </w:r>
      <w:r w:rsidR="00A53588" w:rsidRPr="004604B6">
        <w:rPr>
          <w:rFonts w:hAnsi="Times New Roman" w:cs="Times New Roman"/>
          <w:color w:val="auto"/>
        </w:rPr>
        <w:t xml:space="preserve"> create</w:t>
      </w:r>
      <w:r w:rsidR="004604B6" w:rsidRPr="004604B6">
        <w:rPr>
          <w:rFonts w:hAnsi="Times New Roman" w:cs="Times New Roman"/>
          <w:color w:val="auto"/>
        </w:rPr>
        <w:t xml:space="preserve"> a</w:t>
      </w:r>
      <w:r w:rsidR="00A53588" w:rsidRPr="004604B6">
        <w:rPr>
          <w:rFonts w:hAnsi="Times New Roman" w:cs="Times New Roman"/>
          <w:color w:val="auto"/>
        </w:rPr>
        <w:t xml:space="preserve"> new form of cognitive property</w:t>
      </w:r>
      <w:r w:rsidR="0041237E">
        <w:rPr>
          <w:rFonts w:hAnsi="Times New Roman" w:cs="Times New Roman"/>
          <w:color w:val="auto"/>
        </w:rPr>
        <w:t xml:space="preserve">, </w:t>
      </w:r>
      <w:r w:rsidR="00A53588" w:rsidRPr="004604B6">
        <w:rPr>
          <w:rFonts w:hAnsi="Times New Roman" w:cs="Times New Roman"/>
          <w:color w:val="auto"/>
        </w:rPr>
        <w:t xml:space="preserve">commodifying and assigning ownership over </w:t>
      </w:r>
      <w:r w:rsidRPr="004604B6">
        <w:rPr>
          <w:rFonts w:hAnsi="Times New Roman" w:cs="Times New Roman"/>
          <w:color w:val="auto"/>
        </w:rPr>
        <w:t>abstract idea</w:t>
      </w:r>
      <w:r w:rsidR="00A53588" w:rsidRPr="004604B6">
        <w:rPr>
          <w:rFonts w:hAnsi="Times New Roman" w:cs="Times New Roman"/>
          <w:color w:val="auto"/>
        </w:rPr>
        <w:t>s that would otherwise be deemed part of the public domain</w:t>
      </w:r>
      <w:r w:rsidRPr="004604B6">
        <w:rPr>
          <w:rFonts w:hAnsi="Times New Roman" w:cs="Times New Roman"/>
          <w:color w:val="auto"/>
        </w:rPr>
        <w:t>.</w:t>
      </w:r>
      <w:r w:rsidRPr="00DD1543">
        <w:rPr>
          <w:rFonts w:hAnsi="Times New Roman" w:cs="Times New Roman"/>
          <w:color w:val="auto"/>
        </w:rPr>
        <w:t xml:space="preserve"> </w:t>
      </w:r>
    </w:p>
    <w:p w14:paraId="1254E8CF" w14:textId="70143B93" w:rsidR="00994D87" w:rsidRDefault="00A2776D" w:rsidP="003E04D2">
      <w:pPr>
        <w:shd w:val="clear" w:color="auto" w:fill="FFFFFF"/>
        <w:spacing w:before="100" w:after="100"/>
        <w:ind w:firstLine="720"/>
        <w:rPr>
          <w:rFonts w:hAnsi="Times New Roman" w:cs="Times New Roman"/>
          <w:color w:val="auto"/>
        </w:rPr>
      </w:pPr>
      <w:r>
        <w:rPr>
          <w:rFonts w:hAnsi="Times New Roman" w:cs="Times New Roman"/>
          <w:color w:val="auto"/>
        </w:rPr>
        <w:t xml:space="preserve">  </w:t>
      </w:r>
      <w:r w:rsidR="00994D87">
        <w:rPr>
          <w:rFonts w:hAnsi="Times New Roman" w:cs="Times New Roman"/>
          <w:color w:val="auto"/>
        </w:rPr>
        <w:t xml:space="preserve">  </w:t>
      </w:r>
    </w:p>
    <w:p w14:paraId="5A6E7173" w14:textId="77777777" w:rsidR="007F1F19" w:rsidRPr="00DD1543" w:rsidRDefault="007F1F19">
      <w:pPr>
        <w:pStyle w:val="Heading3"/>
        <w:ind w:firstLine="0"/>
        <w:rPr>
          <w:color w:val="auto"/>
        </w:rPr>
      </w:pPr>
    </w:p>
    <w:p w14:paraId="5A033725" w14:textId="77777777" w:rsidR="007F1F19" w:rsidRDefault="002318AA" w:rsidP="0033314D">
      <w:pPr>
        <w:pStyle w:val="Heading3"/>
        <w:numPr>
          <w:ilvl w:val="2"/>
          <w:numId w:val="9"/>
        </w:numPr>
        <w:rPr>
          <w:color w:val="auto"/>
        </w:rPr>
      </w:pPr>
      <w:bookmarkStart w:id="9" w:name="_Toc399167389"/>
      <w:r w:rsidRPr="0033314D">
        <w:rPr>
          <w:color w:val="auto"/>
        </w:rPr>
        <w:t>Sergey Aleynikov’s Crime</w:t>
      </w:r>
      <w:r w:rsidR="0033314D">
        <w:rPr>
          <w:color w:val="auto"/>
        </w:rPr>
        <w:t>: Secrecy Hysteria as a Control Device</w:t>
      </w:r>
      <w:bookmarkEnd w:id="9"/>
    </w:p>
    <w:p w14:paraId="486775A3" w14:textId="77777777" w:rsidR="0033314D" w:rsidRPr="0033314D" w:rsidRDefault="0033314D" w:rsidP="0033314D"/>
    <w:p w14:paraId="4418B6F8" w14:textId="77777777" w:rsidR="005B15C9" w:rsidRDefault="002318AA">
      <w:pPr>
        <w:ind w:left="720" w:firstLine="0"/>
        <w:rPr>
          <w:rFonts w:hAnsi="Times New Roman" w:cs="Times New Roman"/>
          <w:color w:val="auto"/>
        </w:rPr>
      </w:pPr>
      <w:r w:rsidRPr="00DD1543">
        <w:rPr>
          <w:rFonts w:hAnsi="Times New Roman" w:cs="Times New Roman"/>
          <w:color w:val="auto"/>
        </w:rPr>
        <w:t xml:space="preserve">Why exploit the ignorance of both the general public and the legal system about complex financial matters to punish this one little guy? Why must </w:t>
      </w:r>
      <w:r w:rsidR="000767A0">
        <w:rPr>
          <w:rFonts w:hAnsi="Times New Roman" w:cs="Times New Roman"/>
          <w:color w:val="auto"/>
        </w:rPr>
        <w:t xml:space="preserve">the spider always eat the fly? </w:t>
      </w:r>
      <w:r w:rsidRPr="00DD1543">
        <w:rPr>
          <w:rFonts w:hAnsi="Times New Roman" w:cs="Times New Roman"/>
          <w:color w:val="auto"/>
        </w:rPr>
        <w:t>– Michael Lewis</w:t>
      </w:r>
    </w:p>
    <w:p w14:paraId="03303040" w14:textId="77777777" w:rsidR="005B15C9" w:rsidRPr="00DD1543" w:rsidRDefault="005B15C9">
      <w:pPr>
        <w:ind w:left="720" w:firstLine="0"/>
        <w:rPr>
          <w:rFonts w:hAnsi="Times New Roman" w:cs="Times New Roman"/>
          <w:color w:val="auto"/>
        </w:rPr>
      </w:pPr>
    </w:p>
    <w:p w14:paraId="6AB7A6CB" w14:textId="26426890" w:rsidR="009305DF" w:rsidRPr="000767A0" w:rsidRDefault="00801360" w:rsidP="00801360">
      <w:pPr>
        <w:ind w:firstLine="0"/>
      </w:pPr>
      <w:r>
        <w:tab/>
      </w:r>
      <w:r w:rsidR="002318AA" w:rsidRPr="000767A0">
        <w:t>Sergey Alyenikov was a star programmer at Goldman Sachs.</w:t>
      </w:r>
      <w:r w:rsidR="00835070" w:rsidRPr="000767A0">
        <w:t xml:space="preserve"> </w:t>
      </w:r>
      <w:r w:rsidR="002318AA" w:rsidRPr="000767A0">
        <w:t>A month after leaving Goldman Sachs to work for a new company, Teza Technologies, he was arrested by the FBI, and later prosecuted and convicted under the Economic Espionage Act for stealing proprietary technology.</w:t>
      </w:r>
      <w:r w:rsidR="00327763">
        <w:t xml:space="preserve">  </w:t>
      </w:r>
      <w:r w:rsidR="002318AA" w:rsidRPr="000767A0">
        <w:t>Goldman had accused Alyenikov of stealing computer code and sending himself 32 megabytes of source code. Immediately upon discovering the downloads, Goldman notified the FBI which promptly sent agents to arrest Alyenikov.</w:t>
      </w:r>
      <w:r w:rsidR="00327763">
        <w:t xml:space="preserve">  Alyenikov was sentenced to eight years in federal prison.</w:t>
      </w:r>
    </w:p>
    <w:p w14:paraId="2286A5A6" w14:textId="77777777" w:rsidR="009305DF" w:rsidRDefault="009305DF" w:rsidP="00EE09BC">
      <w:pPr>
        <w:tabs>
          <w:tab w:val="left" w:pos="0"/>
        </w:tabs>
        <w:ind w:firstLine="0"/>
      </w:pPr>
    </w:p>
    <w:p w14:paraId="228D8B00" w14:textId="3A7E4E3C" w:rsidR="0016088E" w:rsidRDefault="009305DF" w:rsidP="0016088E">
      <w:pPr>
        <w:tabs>
          <w:tab w:val="left" w:pos="0"/>
        </w:tabs>
        <w:ind w:firstLine="0"/>
        <w:rPr>
          <w:rFonts w:hAnsi="Times New Roman" w:cs="Times New Roman"/>
          <w:color w:val="auto"/>
        </w:rPr>
      </w:pPr>
      <w:r w:rsidRPr="00F92D38">
        <w:rPr>
          <w:rFonts w:hAnsi="Times New Roman" w:cs="Times New Roman"/>
        </w:rPr>
        <w:tab/>
      </w:r>
      <w:r w:rsidR="002318AA" w:rsidRPr="00F92D38">
        <w:rPr>
          <w:rFonts w:hAnsi="Times New Roman" w:cs="Times New Roman"/>
        </w:rPr>
        <w:t>Alyenikov worked as a programmer for Goldman’s high frequency trading platform</w:t>
      </w:r>
      <w:r w:rsidR="005D29A4" w:rsidRPr="00F92D38">
        <w:rPr>
          <w:rFonts w:hAnsi="Times New Roman" w:cs="Times New Roman"/>
        </w:rPr>
        <w:t xml:space="preserve"> where he, like other programmers, </w:t>
      </w:r>
      <w:r w:rsidR="002318AA" w:rsidRPr="00F92D38">
        <w:rPr>
          <w:rFonts w:hAnsi="Times New Roman" w:cs="Times New Roman"/>
        </w:rPr>
        <w:t xml:space="preserve">used open source software on a daily basis. Unlike the frequently practiced requirement of putting open source code back to the common pool after use and modification, Goldman had a one-way attitude about open-source. </w:t>
      </w:r>
      <w:r w:rsidR="005D29A4" w:rsidRPr="00F92D38">
        <w:rPr>
          <w:rFonts w:hAnsi="Times New Roman" w:cs="Times New Roman"/>
        </w:rPr>
        <w:t xml:space="preserve">When </w:t>
      </w:r>
      <w:r w:rsidR="002318AA" w:rsidRPr="00F92D38">
        <w:rPr>
          <w:rFonts w:hAnsi="Times New Roman" w:cs="Times New Roman"/>
        </w:rPr>
        <w:t xml:space="preserve">Goldman programmers took </w:t>
      </w:r>
      <w:r w:rsidR="005D29A4" w:rsidRPr="00F92D38">
        <w:rPr>
          <w:rFonts w:hAnsi="Times New Roman" w:cs="Times New Roman"/>
        </w:rPr>
        <w:t>open source</w:t>
      </w:r>
      <w:r w:rsidR="00991623" w:rsidRPr="00F92D38">
        <w:rPr>
          <w:rFonts w:hAnsi="Times New Roman" w:cs="Times New Roman"/>
        </w:rPr>
        <w:t>,</w:t>
      </w:r>
      <w:r w:rsidR="00093210" w:rsidRPr="00F92D38">
        <w:rPr>
          <w:rFonts w:hAnsi="Times New Roman" w:cs="Times New Roman"/>
        </w:rPr>
        <w:t xml:space="preserve"> </w:t>
      </w:r>
      <w:r w:rsidR="00991623" w:rsidRPr="00F92D38">
        <w:rPr>
          <w:rFonts w:hAnsi="Times New Roman" w:cs="Times New Roman"/>
        </w:rPr>
        <w:t>it</w:t>
      </w:r>
      <w:r w:rsidR="002318AA" w:rsidRPr="00F92D38">
        <w:rPr>
          <w:rFonts w:hAnsi="Times New Roman" w:cs="Times New Roman"/>
        </w:rPr>
        <w:t xml:space="preserve"> became Goldman’s proprietary information. Goldman would not return the adjusted code to public domain, likely in violation of the open-source licensing agreements. Journalist Michael Lewis</w:t>
      </w:r>
      <w:r w:rsidR="00A85EA2">
        <w:rPr>
          <w:rFonts w:hAnsi="Times New Roman" w:cs="Times New Roman"/>
        </w:rPr>
        <w:t>,</w:t>
      </w:r>
      <w:r w:rsidR="002318AA" w:rsidRPr="00F92D38">
        <w:rPr>
          <w:rFonts w:hAnsi="Times New Roman" w:cs="Times New Roman"/>
        </w:rPr>
        <w:t xml:space="preserve"> who investigated</w:t>
      </w:r>
      <w:r w:rsidR="00991623" w:rsidRPr="00F92D38">
        <w:rPr>
          <w:rFonts w:hAnsi="Times New Roman" w:cs="Times New Roman"/>
        </w:rPr>
        <w:t xml:space="preserve"> this case</w:t>
      </w:r>
      <w:r w:rsidR="00B63A95" w:rsidRPr="00F92D38">
        <w:rPr>
          <w:rFonts w:hAnsi="Times New Roman" w:cs="Times New Roman"/>
        </w:rPr>
        <w:t>,</w:t>
      </w:r>
      <w:r w:rsidR="002318AA" w:rsidRPr="00F92D38">
        <w:rPr>
          <w:rFonts w:hAnsi="Times New Roman" w:cs="Times New Roman"/>
        </w:rPr>
        <w:t xml:space="preserve"> described Al</w:t>
      </w:r>
      <w:r w:rsidR="0016088E">
        <w:rPr>
          <w:rFonts w:hAnsi="Times New Roman" w:cs="Times New Roman"/>
        </w:rPr>
        <w:t>yenikov’s experience at Goldman, where he</w:t>
      </w:r>
      <w:r w:rsidR="002318AA" w:rsidRPr="00DD1543">
        <w:rPr>
          <w:rFonts w:hAnsi="Times New Roman" w:cs="Times New Roman"/>
          <w:color w:val="auto"/>
        </w:rPr>
        <w:t xml:space="preserve"> </w:t>
      </w:r>
      <w:r w:rsidR="0016088E">
        <w:rPr>
          <w:rFonts w:hAnsi="Times New Roman" w:cs="Times New Roman"/>
          <w:color w:val="auto"/>
        </w:rPr>
        <w:t>used</w:t>
      </w:r>
      <w:r w:rsidR="002318AA" w:rsidRPr="00DD1543">
        <w:rPr>
          <w:rFonts w:hAnsi="Times New Roman" w:cs="Times New Roman"/>
          <w:color w:val="auto"/>
        </w:rPr>
        <w:t xml:space="preserve"> open-source compon</w:t>
      </w:r>
      <w:r w:rsidR="0016088E">
        <w:rPr>
          <w:rFonts w:hAnsi="Times New Roman" w:cs="Times New Roman"/>
          <w:color w:val="auto"/>
        </w:rPr>
        <w:t>ents to program new solutions.</w:t>
      </w:r>
      <w:bookmarkStart w:id="10" w:name="_Ref265933357"/>
      <w:r w:rsidR="002318AA" w:rsidRPr="00DD1543">
        <w:rPr>
          <w:rFonts w:hAnsi="Times New Roman" w:cs="Times New Roman"/>
          <w:color w:val="auto"/>
          <w:vertAlign w:val="superscript"/>
        </w:rPr>
        <w:footnoteReference w:id="45"/>
      </w:r>
      <w:bookmarkEnd w:id="10"/>
      <w:r w:rsidR="0016088E">
        <w:rPr>
          <w:rFonts w:hAnsi="Times New Roman" w:cs="Times New Roman"/>
          <w:color w:val="auto"/>
        </w:rPr>
        <w:t xml:space="preserve"> </w:t>
      </w:r>
      <w:r w:rsidR="0016088E" w:rsidRPr="00DD1543">
        <w:rPr>
          <w:rFonts w:hAnsi="Times New Roman" w:cs="Times New Roman"/>
          <w:color w:val="auto"/>
        </w:rPr>
        <w:t>Alyenikov</w:t>
      </w:r>
      <w:r w:rsidR="002318AA" w:rsidRPr="00DD1543">
        <w:rPr>
          <w:rFonts w:hAnsi="Times New Roman" w:cs="Times New Roman"/>
          <w:color w:val="auto"/>
        </w:rPr>
        <w:t xml:space="preserve"> asked his boss if he could release the repackaged open-source back on the Internet</w:t>
      </w:r>
      <w:r w:rsidR="000E7AC8">
        <w:rPr>
          <w:rFonts w:hAnsi="Times New Roman" w:cs="Times New Roman"/>
          <w:color w:val="auto"/>
        </w:rPr>
        <w:t xml:space="preserve"> and h</w:t>
      </w:r>
      <w:r w:rsidR="002318AA" w:rsidRPr="00DD1543">
        <w:rPr>
          <w:rFonts w:hAnsi="Times New Roman" w:cs="Times New Roman"/>
          <w:color w:val="auto"/>
        </w:rPr>
        <w:t>is boss told him it was now Goldman’s property.</w:t>
      </w:r>
      <w:r w:rsidR="002318AA" w:rsidRPr="00DD1543">
        <w:rPr>
          <w:rFonts w:hAnsi="Times New Roman" w:cs="Times New Roman"/>
          <w:color w:val="auto"/>
          <w:vertAlign w:val="superscript"/>
        </w:rPr>
        <w:footnoteReference w:id="46"/>
      </w:r>
      <w:r w:rsidR="0016088E">
        <w:rPr>
          <w:rFonts w:hAnsi="Times New Roman" w:cs="Times New Roman"/>
          <w:color w:val="auto"/>
        </w:rPr>
        <w:t xml:space="preserve"> As Lewis described: </w:t>
      </w:r>
    </w:p>
    <w:p w14:paraId="2B1A5398" w14:textId="77777777" w:rsidR="0016088E" w:rsidRDefault="0016088E" w:rsidP="0016088E">
      <w:pPr>
        <w:tabs>
          <w:tab w:val="left" w:pos="0"/>
        </w:tabs>
        <w:ind w:firstLine="0"/>
        <w:rPr>
          <w:rFonts w:hAnsi="Times New Roman" w:cs="Times New Roman"/>
          <w:color w:val="auto"/>
        </w:rPr>
      </w:pPr>
    </w:p>
    <w:p w14:paraId="2C05CAD5" w14:textId="77777777" w:rsidR="0016088E" w:rsidRDefault="0016088E" w:rsidP="0016088E">
      <w:pPr>
        <w:tabs>
          <w:tab w:val="left" w:pos="0"/>
        </w:tabs>
        <w:ind w:left="720" w:firstLine="0"/>
        <w:rPr>
          <w:rFonts w:hAnsi="Times New Roman" w:cs="Times New Roman"/>
          <w:color w:val="auto"/>
        </w:rPr>
      </w:pPr>
      <w:r>
        <w:rPr>
          <w:rFonts w:hAnsi="Times New Roman" w:cs="Times New Roman"/>
          <w:color w:val="auto"/>
        </w:rPr>
        <w:t>O</w:t>
      </w:r>
      <w:r w:rsidR="002318AA" w:rsidRPr="00DD1543">
        <w:rPr>
          <w:rFonts w:hAnsi="Times New Roman" w:cs="Times New Roman"/>
          <w:color w:val="auto"/>
        </w:rPr>
        <w:t xml:space="preserve">pen source was an idea that depended on collaboration and sharing, </w:t>
      </w:r>
      <w:r w:rsidR="002318AA" w:rsidRPr="00DD1543">
        <w:rPr>
          <w:rFonts w:hAnsi="Times New Roman" w:cs="Times New Roman"/>
          <w:color w:val="auto"/>
        </w:rPr>
        <w:lastRenderedPageBreak/>
        <w:t xml:space="preserve">and Serge </w:t>
      </w:r>
      <w:r>
        <w:rPr>
          <w:rFonts w:hAnsi="Times New Roman" w:cs="Times New Roman"/>
          <w:color w:val="auto"/>
        </w:rPr>
        <w:t xml:space="preserve">(Alyenikov) </w:t>
      </w:r>
      <w:r w:rsidR="002318AA" w:rsidRPr="00DD1543">
        <w:rPr>
          <w:rFonts w:hAnsi="Times New Roman" w:cs="Times New Roman"/>
          <w:color w:val="auto"/>
        </w:rPr>
        <w:t xml:space="preserve">had a long history of contributing to it. He didn’t fully understand how Goldman could think it was O.K. to benefit so greatly from the work of others and then behave so selfishly toward them. “You don’t create intellectual property,” </w:t>
      </w:r>
      <w:r w:rsidRPr="00DD1543">
        <w:rPr>
          <w:rFonts w:hAnsi="Times New Roman" w:cs="Times New Roman"/>
          <w:color w:val="auto"/>
        </w:rPr>
        <w:t xml:space="preserve">Alyenikov </w:t>
      </w:r>
      <w:r w:rsidR="002318AA" w:rsidRPr="00DD1543">
        <w:rPr>
          <w:rFonts w:hAnsi="Times New Roman" w:cs="Times New Roman"/>
          <w:color w:val="auto"/>
        </w:rPr>
        <w:t>said. “You create a program that does something.”</w:t>
      </w:r>
      <w:r>
        <w:rPr>
          <w:rStyle w:val="FootnoteReference"/>
          <w:rFonts w:hAnsi="Times New Roman" w:cs="Times New Roman"/>
          <w:color w:val="auto"/>
        </w:rPr>
        <w:footnoteReference w:id="47"/>
      </w:r>
      <w:r w:rsidR="002318AA" w:rsidRPr="00DD1543">
        <w:rPr>
          <w:rFonts w:hAnsi="Times New Roman" w:cs="Times New Roman"/>
          <w:color w:val="auto"/>
        </w:rPr>
        <w:t xml:space="preserve"> </w:t>
      </w:r>
    </w:p>
    <w:p w14:paraId="75431455" w14:textId="77777777" w:rsidR="0016088E" w:rsidRDefault="0016088E" w:rsidP="0016088E">
      <w:pPr>
        <w:tabs>
          <w:tab w:val="left" w:pos="0"/>
        </w:tabs>
        <w:ind w:firstLine="0"/>
        <w:rPr>
          <w:rFonts w:hAnsi="Times New Roman" w:cs="Times New Roman"/>
          <w:color w:val="auto"/>
        </w:rPr>
      </w:pPr>
    </w:p>
    <w:p w14:paraId="2970019C" w14:textId="77777777" w:rsidR="0016088E" w:rsidRDefault="0016088E" w:rsidP="0016088E">
      <w:pPr>
        <w:tabs>
          <w:tab w:val="left" w:pos="0"/>
        </w:tabs>
        <w:ind w:firstLine="0"/>
        <w:rPr>
          <w:rFonts w:hAnsi="Times New Roman" w:cs="Times New Roman"/>
          <w:color w:val="auto"/>
        </w:rPr>
      </w:pPr>
      <w:r>
        <w:rPr>
          <w:rFonts w:hAnsi="Times New Roman" w:cs="Times New Roman"/>
          <w:color w:val="auto"/>
        </w:rPr>
        <w:t>The</w:t>
      </w:r>
      <w:r w:rsidR="002318AA" w:rsidRPr="00DD1543">
        <w:rPr>
          <w:rFonts w:hAnsi="Times New Roman" w:cs="Times New Roman"/>
          <w:color w:val="auto"/>
        </w:rPr>
        <w:t xml:space="preserve"> </w:t>
      </w:r>
      <w:r>
        <w:rPr>
          <w:rFonts w:hAnsi="Times New Roman" w:cs="Times New Roman"/>
          <w:color w:val="auto"/>
        </w:rPr>
        <w:t xml:space="preserve">core </w:t>
      </w:r>
      <w:r w:rsidR="002318AA" w:rsidRPr="00DD1543">
        <w:rPr>
          <w:rFonts w:hAnsi="Times New Roman" w:cs="Times New Roman"/>
          <w:color w:val="auto"/>
        </w:rPr>
        <w:t>logic of the open source initiative is that rewriting code from scratch for every new program is an utter waste of time, analogous to recreating mathematical proofs rather than using a calculator in every market transaction.</w:t>
      </w:r>
      <w:r w:rsidR="002318AA" w:rsidRPr="00DD1543">
        <w:rPr>
          <w:rFonts w:hAnsi="Times New Roman" w:cs="Times New Roman"/>
          <w:color w:val="auto"/>
          <w:vertAlign w:val="superscript"/>
        </w:rPr>
        <w:footnoteReference w:id="48"/>
      </w:r>
      <w:r>
        <w:rPr>
          <w:rFonts w:hAnsi="Times New Roman" w:cs="Times New Roman"/>
          <w:color w:val="auto"/>
        </w:rPr>
        <w:t xml:space="preserve"> </w:t>
      </w:r>
      <w:r w:rsidR="002318AA" w:rsidRPr="00DD1543">
        <w:rPr>
          <w:rFonts w:hAnsi="Times New Roman" w:cs="Times New Roman"/>
          <w:color w:val="auto"/>
        </w:rPr>
        <w:t xml:space="preserve">During Alyenikov’s trial, his attorney presented evidence of identical pages of computer code: one marked with open-source license and the other a Goldman’s copy, with the open-source license removed and replaced with a Goldman Sachs logo. </w:t>
      </w:r>
    </w:p>
    <w:p w14:paraId="48FA738C" w14:textId="77777777" w:rsidR="0016088E" w:rsidRDefault="0016088E" w:rsidP="0016088E">
      <w:pPr>
        <w:tabs>
          <w:tab w:val="left" w:pos="0"/>
        </w:tabs>
        <w:ind w:firstLine="0"/>
        <w:rPr>
          <w:rFonts w:hAnsi="Times New Roman" w:cs="Times New Roman"/>
          <w:color w:val="auto"/>
        </w:rPr>
      </w:pPr>
    </w:p>
    <w:p w14:paraId="4B2F8C56" w14:textId="77777777" w:rsidR="007F1F19" w:rsidRPr="00DD1543" w:rsidRDefault="0016088E" w:rsidP="0016088E">
      <w:pPr>
        <w:tabs>
          <w:tab w:val="left" w:pos="0"/>
        </w:tabs>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When Alyenikov quit his position at Goldman he agreed to remain in his position for six more weeks to help </w:t>
      </w:r>
      <w:r>
        <w:rPr>
          <w:rFonts w:hAnsi="Times New Roman" w:cs="Times New Roman"/>
          <w:color w:val="auto"/>
        </w:rPr>
        <w:t>train others at Goldman and teach them what he knew</w:t>
      </w:r>
      <w:r w:rsidR="002318AA" w:rsidRPr="00DD1543">
        <w:rPr>
          <w:rFonts w:hAnsi="Times New Roman" w:cs="Times New Roman"/>
          <w:color w:val="auto"/>
        </w:rPr>
        <w:t>. During that time, he mailed himself source code he had been working on</w:t>
      </w:r>
      <w:r w:rsidR="00444292">
        <w:rPr>
          <w:rFonts w:hAnsi="Times New Roman" w:cs="Times New Roman"/>
          <w:color w:val="auto"/>
        </w:rPr>
        <w:t xml:space="preserve"> that contained </w:t>
      </w:r>
      <w:r w:rsidR="002318AA" w:rsidRPr="00DD1543">
        <w:rPr>
          <w:rFonts w:hAnsi="Times New Roman" w:cs="Times New Roman"/>
          <w:color w:val="auto"/>
        </w:rPr>
        <w:t xml:space="preserve">large amounts of the open-source code </w:t>
      </w:r>
      <w:r>
        <w:rPr>
          <w:rFonts w:hAnsi="Times New Roman" w:cs="Times New Roman"/>
          <w:color w:val="auto"/>
        </w:rPr>
        <w:t>he had been using for two years</w:t>
      </w:r>
      <w:r w:rsidR="002318AA" w:rsidRPr="00DD1543">
        <w:rPr>
          <w:rFonts w:hAnsi="Times New Roman" w:cs="Times New Roman"/>
          <w:color w:val="auto"/>
        </w:rPr>
        <w:t xml:space="preserve"> intertwined with code he developed at Goldman. His claim at trial was that he sent this code to himself because he hoped to later disentangle the two and have the open source available if he needed a reminder of what he had used.</w:t>
      </w:r>
    </w:p>
    <w:p w14:paraId="7A27AE35" w14:textId="77777777" w:rsidR="00E2593B" w:rsidRDefault="00E2593B" w:rsidP="00B320FA">
      <w:pPr>
        <w:ind w:firstLine="720"/>
        <w:rPr>
          <w:rFonts w:hAnsi="Times New Roman" w:cs="Times New Roman"/>
          <w:color w:val="auto"/>
        </w:rPr>
      </w:pPr>
    </w:p>
    <w:p w14:paraId="5F5327D4" w14:textId="3821E975" w:rsidR="00B320FA" w:rsidRDefault="002318AA" w:rsidP="00B320FA">
      <w:pPr>
        <w:ind w:firstLine="720"/>
        <w:rPr>
          <w:rFonts w:hAnsi="Times New Roman" w:cs="Times New Roman"/>
          <w:color w:val="auto"/>
        </w:rPr>
      </w:pPr>
      <w:r w:rsidRPr="00DD1543">
        <w:rPr>
          <w:rFonts w:hAnsi="Times New Roman" w:cs="Times New Roman"/>
          <w:color w:val="auto"/>
        </w:rPr>
        <w:t xml:space="preserve">There is no doubt that Alyenikov broke Goldman Sachs’ rules. There is also no doubt </w:t>
      </w:r>
      <w:r w:rsidR="0016088E">
        <w:rPr>
          <w:rFonts w:hAnsi="Times New Roman" w:cs="Times New Roman"/>
          <w:color w:val="auto"/>
        </w:rPr>
        <w:t>that</w:t>
      </w:r>
      <w:r w:rsidRPr="00DD1543">
        <w:rPr>
          <w:rFonts w:hAnsi="Times New Roman" w:cs="Times New Roman"/>
          <w:color w:val="auto"/>
        </w:rPr>
        <w:t xml:space="preserve"> employees are generally required to </w:t>
      </w:r>
      <w:r w:rsidR="00093210">
        <w:rPr>
          <w:rFonts w:hAnsi="Times New Roman" w:cs="Times New Roman"/>
          <w:color w:val="auto"/>
        </w:rPr>
        <w:t>not divulge</w:t>
      </w:r>
      <w:r w:rsidR="00093210" w:rsidRPr="00DD1543">
        <w:rPr>
          <w:rFonts w:hAnsi="Times New Roman" w:cs="Times New Roman"/>
          <w:color w:val="auto"/>
        </w:rPr>
        <w:t xml:space="preserve"> </w:t>
      </w:r>
      <w:r w:rsidRPr="00DD1543">
        <w:rPr>
          <w:rFonts w:hAnsi="Times New Roman" w:cs="Times New Roman"/>
          <w:color w:val="auto"/>
        </w:rPr>
        <w:t>a company’s secrets.</w:t>
      </w:r>
      <w:r w:rsidR="0016088E">
        <w:rPr>
          <w:rStyle w:val="FootnoteReference"/>
          <w:rFonts w:hAnsi="Times New Roman" w:cs="Times New Roman"/>
          <w:color w:val="auto"/>
        </w:rPr>
        <w:footnoteReference w:id="49"/>
      </w:r>
      <w:r w:rsidRPr="00DD1543">
        <w:rPr>
          <w:rFonts w:hAnsi="Times New Roman" w:cs="Times New Roman"/>
          <w:color w:val="auto"/>
        </w:rPr>
        <w:t xml:space="preserve"> </w:t>
      </w:r>
      <w:r w:rsidRPr="00385116">
        <w:rPr>
          <w:rFonts w:hAnsi="Times New Roman" w:cs="Times New Roman"/>
          <w:color w:val="auto"/>
        </w:rPr>
        <w:t>The claim here is that trade secret law, like other area</w:t>
      </w:r>
      <w:r w:rsidR="00B03494" w:rsidRPr="00385116">
        <w:rPr>
          <w:rFonts w:hAnsi="Times New Roman" w:cs="Times New Roman"/>
          <w:color w:val="auto"/>
        </w:rPr>
        <w:t>s</w:t>
      </w:r>
      <w:r w:rsidRPr="00385116">
        <w:rPr>
          <w:rFonts w:hAnsi="Times New Roman" w:cs="Times New Roman"/>
          <w:color w:val="auto"/>
        </w:rPr>
        <w:t xml:space="preserve"> of intellectual property, </w:t>
      </w:r>
      <w:r w:rsidR="0016088E">
        <w:rPr>
          <w:rFonts w:hAnsi="Times New Roman" w:cs="Times New Roman"/>
          <w:color w:val="auto"/>
        </w:rPr>
        <w:t>is</w:t>
      </w:r>
      <w:r w:rsidRPr="00385116">
        <w:rPr>
          <w:rFonts w:hAnsi="Times New Roman" w:cs="Times New Roman"/>
          <w:color w:val="auto"/>
        </w:rPr>
        <w:t xml:space="preserve"> a bargain between </w:t>
      </w:r>
      <w:r w:rsidR="00093210">
        <w:rPr>
          <w:rFonts w:hAnsi="Times New Roman" w:cs="Times New Roman"/>
          <w:color w:val="auto"/>
        </w:rPr>
        <w:t>encouraging investment in innovation by</w:t>
      </w:r>
      <w:r w:rsidRPr="00385116">
        <w:rPr>
          <w:rFonts w:hAnsi="Times New Roman" w:cs="Times New Roman"/>
          <w:color w:val="auto"/>
        </w:rPr>
        <w:t xml:space="preserve"> </w:t>
      </w:r>
      <w:r w:rsidR="0016088E">
        <w:rPr>
          <w:rFonts w:hAnsi="Times New Roman" w:cs="Times New Roman"/>
          <w:color w:val="auto"/>
        </w:rPr>
        <w:t>protecting</w:t>
      </w:r>
      <w:r w:rsidR="00AB5B78" w:rsidRPr="00A40A70">
        <w:rPr>
          <w:rFonts w:hAnsi="Times New Roman" w:cs="Times New Roman"/>
          <w:color w:val="auto"/>
        </w:rPr>
        <w:t xml:space="preserve"> </w:t>
      </w:r>
      <w:r w:rsidR="0016088E">
        <w:rPr>
          <w:rFonts w:hAnsi="Times New Roman" w:cs="Times New Roman"/>
          <w:color w:val="auto"/>
        </w:rPr>
        <w:t>certain</w:t>
      </w:r>
      <w:r w:rsidR="00AB5B78" w:rsidRPr="00A40A70">
        <w:rPr>
          <w:rFonts w:hAnsi="Times New Roman" w:cs="Times New Roman"/>
          <w:color w:val="auto"/>
        </w:rPr>
        <w:t xml:space="preserve"> information </w:t>
      </w:r>
      <w:r w:rsidR="0070099F">
        <w:rPr>
          <w:rFonts w:hAnsi="Times New Roman" w:cs="Times New Roman"/>
          <w:color w:val="auto"/>
        </w:rPr>
        <w:t xml:space="preserve">and </w:t>
      </w:r>
      <w:r w:rsidR="00093210">
        <w:rPr>
          <w:rFonts w:hAnsi="Times New Roman" w:cs="Times New Roman"/>
          <w:color w:val="auto"/>
        </w:rPr>
        <w:t xml:space="preserve">stimulating market competition by </w:t>
      </w:r>
      <w:r w:rsidR="0070099F">
        <w:rPr>
          <w:rFonts w:hAnsi="Times New Roman" w:cs="Times New Roman"/>
          <w:color w:val="auto"/>
        </w:rPr>
        <w:t xml:space="preserve">ensuring the use and dissemination of </w:t>
      </w:r>
      <w:r w:rsidR="0016088E">
        <w:rPr>
          <w:rFonts w:hAnsi="Times New Roman" w:cs="Times New Roman"/>
          <w:color w:val="auto"/>
        </w:rPr>
        <w:t xml:space="preserve">other </w:t>
      </w:r>
      <w:r w:rsidR="0070099F">
        <w:rPr>
          <w:rFonts w:hAnsi="Times New Roman" w:cs="Times New Roman"/>
          <w:color w:val="auto"/>
        </w:rPr>
        <w:t>information</w:t>
      </w:r>
      <w:r w:rsidR="00093210">
        <w:rPr>
          <w:rFonts w:hAnsi="Times New Roman" w:cs="Times New Roman"/>
          <w:color w:val="auto"/>
        </w:rPr>
        <w:t xml:space="preserve">. </w:t>
      </w:r>
      <w:r w:rsidRPr="00DD1543">
        <w:rPr>
          <w:rFonts w:hAnsi="Times New Roman" w:cs="Times New Roman"/>
          <w:color w:val="auto"/>
        </w:rPr>
        <w:t>T</w:t>
      </w:r>
      <w:r w:rsidR="0016088E">
        <w:rPr>
          <w:rFonts w:hAnsi="Times New Roman" w:cs="Times New Roman"/>
          <w:color w:val="auto"/>
        </w:rPr>
        <w:t xml:space="preserve">raditionally then, trade secret law, like other forms of IP, </w:t>
      </w:r>
      <w:r w:rsidRPr="00DD1543">
        <w:rPr>
          <w:rFonts w:hAnsi="Times New Roman" w:cs="Times New Roman"/>
          <w:color w:val="auto"/>
        </w:rPr>
        <w:t xml:space="preserve">has boundaries: information deemed trade secret must be confidential, </w:t>
      </w:r>
      <w:r w:rsidR="0055472B">
        <w:rPr>
          <w:rFonts w:hAnsi="Times New Roman" w:cs="Times New Roman"/>
          <w:color w:val="auto"/>
        </w:rPr>
        <w:t xml:space="preserve">valuable, </w:t>
      </w:r>
      <w:r w:rsidRPr="00DD1543">
        <w:rPr>
          <w:rFonts w:hAnsi="Times New Roman" w:cs="Times New Roman"/>
          <w:color w:val="auto"/>
        </w:rPr>
        <w:t>not generally known in the industry</w:t>
      </w:r>
      <w:r w:rsidR="008F0422">
        <w:rPr>
          <w:rFonts w:hAnsi="Times New Roman" w:cs="Times New Roman"/>
          <w:color w:val="auto"/>
        </w:rPr>
        <w:t>,</w:t>
      </w:r>
      <w:r w:rsidR="0055472B">
        <w:rPr>
          <w:rFonts w:hAnsi="Times New Roman" w:cs="Times New Roman"/>
          <w:color w:val="auto"/>
        </w:rPr>
        <w:t xml:space="preserve"> </w:t>
      </w:r>
      <w:r w:rsidRPr="00DD1543">
        <w:rPr>
          <w:rFonts w:hAnsi="Times New Roman" w:cs="Times New Roman"/>
          <w:color w:val="auto"/>
        </w:rPr>
        <w:t>and the company must exert reasonable efforts in maintaining its secrecy.</w:t>
      </w:r>
      <w:r w:rsidR="0016088E">
        <w:rPr>
          <w:rStyle w:val="FootnoteReference"/>
          <w:rFonts w:hAnsi="Times New Roman" w:cs="Times New Roman"/>
          <w:color w:val="auto"/>
        </w:rPr>
        <w:footnoteReference w:id="50"/>
      </w:r>
      <w:r w:rsidRPr="00DD1543">
        <w:rPr>
          <w:rFonts w:hAnsi="Times New Roman" w:cs="Times New Roman"/>
          <w:color w:val="auto"/>
        </w:rPr>
        <w:t xml:space="preserve"> </w:t>
      </w:r>
      <w:r w:rsidR="00B320FA">
        <w:rPr>
          <w:rFonts w:hAnsi="Times New Roman" w:cs="Times New Roman"/>
          <w:color w:val="auto"/>
        </w:rPr>
        <w:t>And yet, while t</w:t>
      </w:r>
      <w:r w:rsidRPr="00DD1543">
        <w:rPr>
          <w:rFonts w:hAnsi="Times New Roman" w:cs="Times New Roman"/>
          <w:color w:val="auto"/>
        </w:rPr>
        <w:t>rade secret law</w:t>
      </w:r>
      <w:r w:rsidR="00B320FA">
        <w:rPr>
          <w:rFonts w:hAnsi="Times New Roman" w:cs="Times New Roman"/>
          <w:color w:val="auto"/>
        </w:rPr>
        <w:t xml:space="preserve"> like other pillars of IP</w:t>
      </w:r>
      <w:r w:rsidRPr="00DD1543">
        <w:rPr>
          <w:rFonts w:hAnsi="Times New Roman" w:cs="Times New Roman"/>
          <w:color w:val="auto"/>
        </w:rPr>
        <w:t xml:space="preserve"> is </w:t>
      </w:r>
      <w:r w:rsidR="00B320FA">
        <w:rPr>
          <w:rFonts w:hAnsi="Times New Roman" w:cs="Times New Roman"/>
          <w:color w:val="auto"/>
        </w:rPr>
        <w:t>designed to promote innovation,</w:t>
      </w:r>
      <w:r w:rsidRPr="00DD1543">
        <w:rPr>
          <w:rFonts w:hAnsi="Times New Roman" w:cs="Times New Roman"/>
          <w:color w:val="auto"/>
        </w:rPr>
        <w:t xml:space="preserve"> it functions to regulate the relationship </w:t>
      </w:r>
      <w:r w:rsidRPr="00DD1543">
        <w:rPr>
          <w:rFonts w:hAnsi="Times New Roman" w:cs="Times New Roman"/>
          <w:color w:val="auto"/>
        </w:rPr>
        <w:lastRenderedPageBreak/>
        <w:t>between firms and individuals.</w:t>
      </w:r>
      <w:r w:rsidRPr="00DD1543">
        <w:rPr>
          <w:rFonts w:hAnsi="Times New Roman" w:cs="Times New Roman"/>
          <w:color w:val="auto"/>
          <w:vertAlign w:val="superscript"/>
        </w:rPr>
        <w:footnoteReference w:id="51"/>
      </w:r>
      <w:r w:rsidRPr="00DD1543">
        <w:rPr>
          <w:rFonts w:hAnsi="Times New Roman" w:cs="Times New Roman"/>
          <w:color w:val="auto"/>
        </w:rPr>
        <w:t xml:space="preserve"> </w:t>
      </w:r>
    </w:p>
    <w:p w14:paraId="142BE488" w14:textId="77777777" w:rsidR="00B320FA" w:rsidRDefault="00B320FA" w:rsidP="00B320FA">
      <w:pPr>
        <w:ind w:firstLine="720"/>
        <w:rPr>
          <w:rFonts w:hAnsi="Times New Roman" w:cs="Times New Roman"/>
          <w:color w:val="auto"/>
        </w:rPr>
      </w:pPr>
    </w:p>
    <w:p w14:paraId="72EAFA30" w14:textId="77777777" w:rsidR="007F1F19" w:rsidRPr="00DD1543" w:rsidRDefault="00B320FA" w:rsidP="00C07E10">
      <w:pPr>
        <w:ind w:firstLine="720"/>
        <w:rPr>
          <w:rFonts w:hAnsi="Times New Roman" w:cs="Times New Roman"/>
          <w:color w:val="auto"/>
          <w:u w:color="282828"/>
        </w:rPr>
      </w:pPr>
      <w:r>
        <w:rPr>
          <w:rFonts w:hAnsi="Times New Roman" w:cs="Times New Roman"/>
          <w:color w:val="auto"/>
        </w:rPr>
        <w:t xml:space="preserve">Using the lens of human capital, contemporary </w:t>
      </w:r>
      <w:r>
        <w:rPr>
          <w:rFonts w:hAnsi="Times New Roman" w:cs="Times New Roman"/>
          <w:color w:val="auto"/>
          <w:u w:color="282828"/>
        </w:rPr>
        <w:t>trade secrets ha</w:t>
      </w:r>
      <w:r w:rsidR="00F7412F">
        <w:rPr>
          <w:rFonts w:hAnsi="Times New Roman" w:cs="Times New Roman"/>
          <w:color w:val="auto"/>
          <w:u w:color="282828"/>
        </w:rPr>
        <w:t>ve</w:t>
      </w:r>
      <w:r w:rsidRPr="00DD1543">
        <w:rPr>
          <w:rFonts w:hAnsi="Times New Roman" w:cs="Times New Roman"/>
          <w:color w:val="auto"/>
          <w:u w:color="282828"/>
        </w:rPr>
        <w:t xml:space="preserve"> </w:t>
      </w:r>
      <w:r>
        <w:rPr>
          <w:rFonts w:hAnsi="Times New Roman" w:cs="Times New Roman"/>
          <w:color w:val="auto"/>
          <w:u w:color="282828"/>
        </w:rPr>
        <w:t>expanded</w:t>
      </w:r>
      <w:r w:rsidRPr="00DD1543">
        <w:rPr>
          <w:rFonts w:hAnsi="Times New Roman" w:cs="Times New Roman"/>
          <w:color w:val="auto"/>
          <w:u w:color="282828"/>
        </w:rPr>
        <w:t xml:space="preserve"> both in </w:t>
      </w:r>
      <w:r w:rsidRPr="00DD1543">
        <w:rPr>
          <w:rFonts w:hAnsi="Times New Roman" w:cs="Times New Roman"/>
          <w:i/>
          <w:iCs/>
          <w:color w:val="auto"/>
          <w:u w:color="282828"/>
        </w:rPr>
        <w:t>subject</w:t>
      </w:r>
      <w:r>
        <w:rPr>
          <w:rFonts w:hAnsi="Times New Roman" w:cs="Times New Roman"/>
          <w:i/>
          <w:iCs/>
          <w:color w:val="auto"/>
          <w:u w:color="282828"/>
        </w:rPr>
        <w:t xml:space="preserve"> </w:t>
      </w:r>
      <w:r w:rsidRPr="006C377C">
        <w:rPr>
          <w:rFonts w:hAnsi="Times New Roman" w:cs="Times New Roman"/>
          <w:i/>
          <w:iCs/>
          <w:color w:val="auto"/>
          <w:u w:color="282828"/>
        </w:rPr>
        <w:t>matter</w:t>
      </w:r>
      <w:r>
        <w:rPr>
          <w:rFonts w:hAnsi="Times New Roman" w:cs="Times New Roman"/>
          <w:color w:val="auto"/>
          <w:u w:color="282828"/>
        </w:rPr>
        <w:t xml:space="preserve">, </w:t>
      </w:r>
      <w:r w:rsidRPr="00DD1543">
        <w:rPr>
          <w:rFonts w:hAnsi="Times New Roman" w:cs="Times New Roman"/>
          <w:color w:val="auto"/>
          <w:u w:color="282828"/>
        </w:rPr>
        <w:t>the type of information that can be deemed trade secret</w:t>
      </w:r>
      <w:r>
        <w:rPr>
          <w:rFonts w:hAnsi="Times New Roman" w:cs="Times New Roman"/>
          <w:color w:val="auto"/>
          <w:u w:color="282828"/>
        </w:rPr>
        <w:t>,</w:t>
      </w:r>
      <w:r w:rsidRPr="00DD1543">
        <w:rPr>
          <w:rFonts w:hAnsi="Times New Roman" w:cs="Times New Roman"/>
          <w:color w:val="auto"/>
          <w:u w:color="282828"/>
        </w:rPr>
        <w:t xml:space="preserve"> and </w:t>
      </w:r>
      <w:r w:rsidRPr="00DD1543">
        <w:rPr>
          <w:rFonts w:hAnsi="Times New Roman" w:cs="Times New Roman"/>
          <w:i/>
          <w:iCs/>
          <w:color w:val="auto"/>
          <w:u w:color="282828"/>
        </w:rPr>
        <w:t>protection</w:t>
      </w:r>
      <w:r>
        <w:rPr>
          <w:rFonts w:hAnsi="Times New Roman" w:cs="Times New Roman"/>
          <w:color w:val="auto"/>
          <w:u w:color="282828"/>
        </w:rPr>
        <w:t>, the type of activities that are deemed misappropriation</w:t>
      </w:r>
      <w:r w:rsidRPr="00DD1543">
        <w:rPr>
          <w:rFonts w:hAnsi="Times New Roman" w:cs="Times New Roman"/>
          <w:color w:val="auto"/>
          <w:u w:color="282828"/>
        </w:rPr>
        <w:t xml:space="preserve">. </w:t>
      </w:r>
      <w:r w:rsidR="002318AA" w:rsidRPr="00DD1543">
        <w:rPr>
          <w:rFonts w:hAnsi="Times New Roman" w:cs="Times New Roman"/>
          <w:color w:val="auto"/>
        </w:rPr>
        <w:t xml:space="preserve">The </w:t>
      </w:r>
      <w:r w:rsidR="002318AA" w:rsidRPr="00F528E6">
        <w:rPr>
          <w:rFonts w:hAnsi="Times New Roman" w:cs="Times New Roman"/>
          <w:i/>
          <w:color w:val="auto"/>
        </w:rPr>
        <w:t>Alyenikov</w:t>
      </w:r>
      <w:r w:rsidR="002318AA" w:rsidRPr="004604B6">
        <w:rPr>
          <w:rFonts w:hAnsi="Times New Roman" w:cs="Times New Roman"/>
          <w:color w:val="auto"/>
        </w:rPr>
        <w:t xml:space="preserve"> case</w:t>
      </w:r>
      <w:r w:rsidR="002318AA" w:rsidRPr="00DD1543">
        <w:rPr>
          <w:rFonts w:hAnsi="Times New Roman" w:cs="Times New Roman"/>
          <w:color w:val="auto"/>
        </w:rPr>
        <w:t xml:space="preserve"> </w:t>
      </w:r>
      <w:r>
        <w:rPr>
          <w:rFonts w:hAnsi="Times New Roman" w:cs="Times New Roman"/>
          <w:color w:val="auto"/>
        </w:rPr>
        <w:t>illuminates</w:t>
      </w:r>
      <w:r w:rsidR="002318AA" w:rsidRPr="00DD1543">
        <w:rPr>
          <w:rFonts w:hAnsi="Times New Roman" w:cs="Times New Roman"/>
          <w:color w:val="auto"/>
        </w:rPr>
        <w:t xml:space="preserve"> </w:t>
      </w:r>
      <w:r>
        <w:rPr>
          <w:rFonts w:hAnsi="Times New Roman" w:cs="Times New Roman"/>
          <w:color w:val="auto"/>
        </w:rPr>
        <w:t xml:space="preserve">both these trends toward cognitive property through recent developments in trade secret law, raising </w:t>
      </w:r>
      <w:r w:rsidR="002318AA" w:rsidRPr="00DD1543">
        <w:rPr>
          <w:rFonts w:hAnsi="Times New Roman" w:cs="Times New Roman"/>
          <w:color w:val="auto"/>
        </w:rPr>
        <w:t xml:space="preserve">doubt about whether the original bargain struck in trade secrecy has been abandoned. In several ways, the case points to unbalanced </w:t>
      </w:r>
      <w:r w:rsidR="00086AE8">
        <w:rPr>
          <w:rFonts w:hAnsi="Times New Roman" w:cs="Times New Roman"/>
          <w:color w:val="auto"/>
        </w:rPr>
        <w:t>controls</w:t>
      </w:r>
      <w:r w:rsidR="002318AA" w:rsidRPr="00DD1543">
        <w:rPr>
          <w:rFonts w:hAnsi="Times New Roman" w:cs="Times New Roman"/>
          <w:color w:val="auto"/>
        </w:rPr>
        <w:t xml:space="preserve"> </w:t>
      </w:r>
      <w:r w:rsidR="00086AE8">
        <w:rPr>
          <w:rFonts w:hAnsi="Times New Roman" w:cs="Times New Roman"/>
          <w:color w:val="auto"/>
        </w:rPr>
        <w:t>over</w:t>
      </w:r>
      <w:r w:rsidR="002318AA" w:rsidRPr="00DD1543">
        <w:rPr>
          <w:rFonts w:hAnsi="Times New Roman" w:cs="Times New Roman"/>
          <w:color w:val="auto"/>
        </w:rPr>
        <w:t xml:space="preserve"> </w:t>
      </w:r>
      <w:r w:rsidR="00086AE8">
        <w:rPr>
          <w:rFonts w:hAnsi="Times New Roman" w:cs="Times New Roman"/>
          <w:color w:val="auto"/>
        </w:rPr>
        <w:t>information</w:t>
      </w:r>
      <w:r w:rsidR="002318AA" w:rsidRPr="00DD1543">
        <w:rPr>
          <w:rFonts w:hAnsi="Times New Roman" w:cs="Times New Roman"/>
          <w:color w:val="auto"/>
        </w:rPr>
        <w:t xml:space="preserve"> beyond the actual secrecy of the information at stake. First, the evidence in the case pointed to the little value that the source code would have for anyone outside of Goldman. While Goldman’s system was an archaic patchwork, newer and faster systems were designed differently.</w:t>
      </w:r>
      <w:r w:rsidR="009D525D">
        <w:rPr>
          <w:rStyle w:val="FootnoteReference"/>
          <w:rFonts w:hAnsi="Times New Roman" w:cs="Times New Roman"/>
          <w:color w:val="auto"/>
        </w:rPr>
        <w:footnoteReference w:id="52"/>
      </w:r>
      <w:r w:rsidR="002318AA" w:rsidRPr="00DD1543">
        <w:rPr>
          <w:rFonts w:hAnsi="Times New Roman" w:cs="Times New Roman"/>
          <w:color w:val="auto"/>
        </w:rPr>
        <w:t xml:space="preserve"> Second, there was no actual use of the information taken. </w:t>
      </w:r>
      <w:r w:rsidR="00093210">
        <w:rPr>
          <w:rFonts w:hAnsi="Times New Roman" w:cs="Times New Roman"/>
          <w:color w:val="auto"/>
        </w:rPr>
        <w:t>T</w:t>
      </w:r>
      <w:r w:rsidR="00093210" w:rsidRPr="00DD1543">
        <w:rPr>
          <w:rFonts w:hAnsi="Times New Roman" w:cs="Times New Roman"/>
          <w:color w:val="auto"/>
        </w:rPr>
        <w:t xml:space="preserve">he </w:t>
      </w:r>
      <w:r w:rsidR="002318AA" w:rsidRPr="00DD1543">
        <w:rPr>
          <w:rFonts w:hAnsi="Times New Roman" w:cs="Times New Roman"/>
          <w:color w:val="auto"/>
        </w:rPr>
        <w:t xml:space="preserve">only evidence presented in the case was testimony by Alyenikov’s new employer that he had absolutely no interest or use of the code. Rather, </w:t>
      </w:r>
      <w:r w:rsidR="00C07E10">
        <w:rPr>
          <w:rFonts w:hAnsi="Times New Roman" w:cs="Times New Roman"/>
          <w:color w:val="auto"/>
        </w:rPr>
        <w:t>the new employer</w:t>
      </w:r>
      <w:r w:rsidR="002318AA" w:rsidRPr="00DD1543">
        <w:rPr>
          <w:rFonts w:hAnsi="Times New Roman" w:cs="Times New Roman"/>
          <w:color w:val="auto"/>
        </w:rPr>
        <w:t xml:space="preserve"> wanted to build something from scratch and testified that even if he were offered Goldman’s entire high-frequency-trading platform he would not have been interested.</w:t>
      </w:r>
      <w:bookmarkStart w:id="11" w:name="_Ref266780184"/>
      <w:r w:rsidR="002318AA" w:rsidRPr="00DD1543">
        <w:rPr>
          <w:rFonts w:hAnsi="Times New Roman" w:cs="Times New Roman"/>
          <w:color w:val="auto"/>
          <w:vertAlign w:val="superscript"/>
        </w:rPr>
        <w:footnoteReference w:id="53"/>
      </w:r>
      <w:bookmarkEnd w:id="11"/>
      <w:r w:rsidR="002318AA" w:rsidRPr="00DD1543">
        <w:rPr>
          <w:rFonts w:hAnsi="Times New Roman" w:cs="Times New Roman"/>
          <w:color w:val="auto"/>
        </w:rPr>
        <w:t xml:space="preserve"> Third, much of the code was open source code that Alyenikov had taken from the Internet. He insisted convincingly to the panel of experts who examined the evidence post-trial that he took the code for those elements. </w:t>
      </w:r>
      <w:r w:rsidR="002318AA" w:rsidRPr="00385116">
        <w:rPr>
          <w:rFonts w:hAnsi="Times New Roman" w:cs="Times New Roman"/>
          <w:color w:val="auto"/>
        </w:rPr>
        <w:t>For programmers like Aleynikov, the code</w:t>
      </w:r>
      <w:r w:rsidR="00C07E10">
        <w:rPr>
          <w:rFonts w:hAnsi="Times New Roman" w:cs="Times New Roman"/>
          <w:color w:val="auto"/>
        </w:rPr>
        <w:t xml:space="preserve"> is analogous to the pocket</w:t>
      </w:r>
      <w:r w:rsidR="002318AA" w:rsidRPr="00385116">
        <w:rPr>
          <w:rFonts w:hAnsi="Times New Roman" w:cs="Times New Roman"/>
          <w:color w:val="auto"/>
        </w:rPr>
        <w:t>book inventors used to carry around</w:t>
      </w:r>
      <w:r w:rsidR="00C07E10">
        <w:rPr>
          <w:rFonts w:hAnsi="Times New Roman" w:cs="Times New Roman"/>
          <w:color w:val="auto"/>
        </w:rPr>
        <w:t xml:space="preserve"> everywhere</w:t>
      </w:r>
      <w:r w:rsidR="002318AA" w:rsidRPr="00385116">
        <w:rPr>
          <w:rFonts w:hAnsi="Times New Roman" w:cs="Times New Roman"/>
          <w:color w:val="auto"/>
        </w:rPr>
        <w:t>. One of the experts considering the evid</w:t>
      </w:r>
      <w:r w:rsidR="00C07E10">
        <w:rPr>
          <w:rFonts w:hAnsi="Times New Roman" w:cs="Times New Roman"/>
          <w:color w:val="auto"/>
        </w:rPr>
        <w:t>ence post-conviction explained</w:t>
      </w:r>
      <w:r w:rsidR="002318AA" w:rsidRPr="00385116">
        <w:rPr>
          <w:rFonts w:hAnsi="Times New Roman" w:cs="Times New Roman"/>
          <w:color w:val="auto"/>
        </w:rPr>
        <w:t>:</w:t>
      </w:r>
    </w:p>
    <w:p w14:paraId="3B8CF9E6" w14:textId="77777777" w:rsidR="007F1F19" w:rsidRPr="00DD1543" w:rsidRDefault="002318AA" w:rsidP="00AB3561">
      <w:pPr>
        <w:pStyle w:val="NormalWeb"/>
        <w:shd w:val="clear" w:color="auto" w:fill="FFFFFF"/>
        <w:ind w:left="720" w:right="720"/>
        <w:jc w:val="both"/>
        <w:rPr>
          <w:rFonts w:hAnsi="Times New Roman" w:cs="Times New Roman"/>
          <w:color w:val="auto"/>
        </w:rPr>
      </w:pPr>
      <w:r w:rsidRPr="00DD1543">
        <w:rPr>
          <w:rFonts w:hAnsi="Times New Roman" w:cs="Times New Roman"/>
          <w:color w:val="auto"/>
        </w:rPr>
        <w:t xml:space="preserve">In Serge’s case, think of being at a company for three years and you carry a spiral notebook and write everything down. Everything about your meetings, your ideas, products, sales, client meetings—it’s all written down in that notebook. You leave for your new job and take the notebook with you (as most people do). The contents of your notebook relate to your history at the prior company, but have very little relevance to your new job. You may never look at it again. Maybe there are some ideas or templates or thoughts you can draw on. But that notebook is related to your prior job, and you will start a new notebook at your new job which will make the old one </w:t>
      </w:r>
      <w:r w:rsidRPr="00DD1543">
        <w:rPr>
          <w:rFonts w:hAnsi="Times New Roman" w:cs="Times New Roman"/>
          <w:color w:val="auto"/>
        </w:rPr>
        <w:lastRenderedPageBreak/>
        <w:t>irrelevant. . . . [It enables them] to remember what they worked on—but it has very little relevance to what they will build next.</w:t>
      </w:r>
      <w:r w:rsidR="00967FCA">
        <w:rPr>
          <w:rStyle w:val="FootnoteReference"/>
          <w:rFonts w:hAnsi="Times New Roman" w:cs="Times New Roman"/>
          <w:color w:val="auto"/>
        </w:rPr>
        <w:footnoteReference w:id="54"/>
      </w:r>
    </w:p>
    <w:p w14:paraId="2A5BCD24" w14:textId="68E1BD52" w:rsidR="007F1F19" w:rsidRDefault="002318AA" w:rsidP="0041237E">
      <w:pPr>
        <w:pStyle w:val="NormalWeb"/>
        <w:shd w:val="clear" w:color="auto" w:fill="FFFFFF"/>
        <w:jc w:val="both"/>
        <w:rPr>
          <w:rFonts w:hAnsi="Times New Roman" w:cs="Times New Roman"/>
          <w:color w:val="auto"/>
        </w:rPr>
      </w:pPr>
      <w:r w:rsidRPr="00DD1543">
        <w:rPr>
          <w:rFonts w:hAnsi="Times New Roman" w:cs="Times New Roman"/>
          <w:color w:val="auto"/>
        </w:rPr>
        <w:t xml:space="preserve">Fourth, the manner in which </w:t>
      </w:r>
      <w:r w:rsidR="00C07E10" w:rsidRPr="00DD1543">
        <w:rPr>
          <w:rFonts w:hAnsi="Times New Roman" w:cs="Times New Roman"/>
          <w:color w:val="auto"/>
        </w:rPr>
        <w:t xml:space="preserve">Alyenikov </w:t>
      </w:r>
      <w:r w:rsidRPr="00DD1543">
        <w:rPr>
          <w:rFonts w:hAnsi="Times New Roman" w:cs="Times New Roman"/>
          <w:color w:val="auto"/>
        </w:rPr>
        <w:t>downloaded the code was not of a</w:t>
      </w:r>
      <w:r w:rsidR="00742B25">
        <w:rPr>
          <w:rFonts w:hAnsi="Times New Roman" w:cs="Times New Roman"/>
          <w:color w:val="auto"/>
        </w:rPr>
        <w:t>n inconspicuous</w:t>
      </w:r>
      <w:r w:rsidRPr="00DD1543">
        <w:rPr>
          <w:rFonts w:hAnsi="Times New Roman" w:cs="Times New Roman"/>
          <w:color w:val="auto"/>
        </w:rPr>
        <w:t xml:space="preserve"> thief </w:t>
      </w:r>
      <w:r w:rsidR="002F4149">
        <w:rPr>
          <w:rFonts w:hAnsi="Times New Roman" w:cs="Times New Roman"/>
          <w:color w:val="auto"/>
        </w:rPr>
        <w:t>as he em</w:t>
      </w:r>
      <w:r w:rsidR="00F176FD">
        <w:rPr>
          <w:rFonts w:hAnsi="Times New Roman" w:cs="Times New Roman"/>
          <w:color w:val="auto"/>
        </w:rPr>
        <w:t>a</w:t>
      </w:r>
      <w:r w:rsidR="00C07E10">
        <w:rPr>
          <w:rFonts w:hAnsi="Times New Roman" w:cs="Times New Roman"/>
          <w:color w:val="auto"/>
        </w:rPr>
        <w:t xml:space="preserve">iled it to himself from work </w:t>
      </w:r>
      <w:r w:rsidR="002F4149">
        <w:rPr>
          <w:rFonts w:hAnsi="Times New Roman" w:cs="Times New Roman"/>
          <w:color w:val="auto"/>
        </w:rPr>
        <w:t>when h</w:t>
      </w:r>
      <w:r w:rsidRPr="00DD1543">
        <w:rPr>
          <w:rFonts w:hAnsi="Times New Roman" w:cs="Times New Roman"/>
          <w:color w:val="auto"/>
        </w:rPr>
        <w:t xml:space="preserve">e could have easily downloaded the information </w:t>
      </w:r>
      <w:r w:rsidR="00742B25">
        <w:rPr>
          <w:rFonts w:hAnsi="Times New Roman" w:cs="Times New Roman"/>
          <w:color w:val="auto"/>
        </w:rPr>
        <w:t>o</w:t>
      </w:r>
      <w:r w:rsidRPr="00DD1543">
        <w:rPr>
          <w:rFonts w:hAnsi="Times New Roman" w:cs="Times New Roman"/>
          <w:color w:val="auto"/>
        </w:rPr>
        <w:t>nto a thumb drive</w:t>
      </w:r>
      <w:r w:rsidR="002F4149">
        <w:rPr>
          <w:rFonts w:hAnsi="Times New Roman" w:cs="Times New Roman"/>
          <w:color w:val="auto"/>
        </w:rPr>
        <w:t>.</w:t>
      </w:r>
      <w:r w:rsidRPr="00DD1543">
        <w:rPr>
          <w:rFonts w:hAnsi="Times New Roman" w:cs="Times New Roman"/>
          <w:color w:val="auto"/>
        </w:rPr>
        <w:t xml:space="preserve"> Fifth, </w:t>
      </w:r>
      <w:r w:rsidR="00BD25E3">
        <w:rPr>
          <w:rFonts w:hAnsi="Times New Roman" w:cs="Times New Roman"/>
          <w:color w:val="auto"/>
        </w:rPr>
        <w:t xml:space="preserve">and </w:t>
      </w:r>
      <w:r w:rsidRPr="00DD1543">
        <w:rPr>
          <w:rFonts w:hAnsi="Times New Roman" w:cs="Times New Roman"/>
          <w:color w:val="auto"/>
        </w:rPr>
        <w:t>perhaps most compelling, Alyenikov took very little, “eight megabytes in a platform that consisted of an estimated one gigabyte of code” and nothing of true value namely Goldman’s trading strategies – the secret sauce (“But that’s like stealing the jewelry box without the jewels</w:t>
      </w:r>
      <w:r w:rsidR="00C07E10">
        <w:rPr>
          <w:rFonts w:hAnsi="Times New Roman" w:cs="Times New Roman"/>
          <w:color w:val="auto"/>
        </w:rPr>
        <w:t>,</w:t>
      </w:r>
      <w:r w:rsidRPr="00DD1543">
        <w:rPr>
          <w:rFonts w:hAnsi="Times New Roman" w:cs="Times New Roman"/>
          <w:color w:val="auto"/>
        </w:rPr>
        <w:t>” said one of the post-trial experts). Sixth, procedurally, these questions were tried in the absence of actual expertise about the nature of the information and the allegations of its value.</w:t>
      </w:r>
      <w:r w:rsidR="00967FCA">
        <w:rPr>
          <w:rStyle w:val="FootnoteReference"/>
          <w:rFonts w:hAnsi="Times New Roman" w:cs="Times New Roman"/>
          <w:color w:val="auto"/>
        </w:rPr>
        <w:footnoteReference w:id="55"/>
      </w:r>
      <w:r w:rsidRPr="00DD1543">
        <w:rPr>
          <w:rFonts w:hAnsi="Times New Roman" w:cs="Times New Roman"/>
          <w:color w:val="auto"/>
        </w:rPr>
        <w:t xml:space="preserve"> Both the FBI investigators who arrested Alyenikov and the jury who convicted him seemed to have little grasp of the world of high frequency trading and its trade secrets. Finally, the harsh consequences: the eight-year imprisonment of a former programmer, a father of three with no criminal record, for the act</w:t>
      </w:r>
      <w:r w:rsidR="00C07E10">
        <w:rPr>
          <w:rFonts w:hAnsi="Times New Roman" w:cs="Times New Roman"/>
          <w:color w:val="auto"/>
        </w:rPr>
        <w:t>, common among programmers,</w:t>
      </w:r>
      <w:r w:rsidRPr="00DD1543">
        <w:rPr>
          <w:rFonts w:hAnsi="Times New Roman" w:cs="Times New Roman"/>
          <w:color w:val="auto"/>
        </w:rPr>
        <w:t xml:space="preserve"> of emailing his work to himself.  </w:t>
      </w:r>
    </w:p>
    <w:p w14:paraId="1ED996BA" w14:textId="77777777" w:rsidR="00C07E10" w:rsidRDefault="00C07E10" w:rsidP="00B578CC">
      <w:pPr>
        <w:pStyle w:val="NormalWeb"/>
        <w:shd w:val="clear" w:color="auto" w:fill="FFFFFF"/>
        <w:ind w:firstLine="720"/>
        <w:jc w:val="both"/>
        <w:rPr>
          <w:rFonts w:hAnsi="Times New Roman" w:cs="Times New Roman"/>
          <w:color w:val="auto"/>
        </w:rPr>
      </w:pPr>
      <w:r>
        <w:rPr>
          <w:rFonts w:hAnsi="Times New Roman" w:cs="Times New Roman"/>
          <w:color w:val="auto"/>
        </w:rPr>
        <w:t xml:space="preserve">In his new book, </w:t>
      </w:r>
      <w:r w:rsidRPr="00F528E6">
        <w:rPr>
          <w:rFonts w:hAnsi="Times New Roman" w:cs="Times New Roman"/>
          <w:i/>
          <w:color w:val="auto"/>
        </w:rPr>
        <w:t>Flash Boys</w:t>
      </w:r>
      <w:r>
        <w:rPr>
          <w:rFonts w:hAnsi="Times New Roman" w:cs="Times New Roman"/>
          <w:color w:val="auto"/>
        </w:rPr>
        <w:t xml:space="preserve">, </w:t>
      </w:r>
      <w:r w:rsidR="002318AA" w:rsidRPr="00DD1543">
        <w:rPr>
          <w:rFonts w:hAnsi="Times New Roman" w:cs="Times New Roman"/>
          <w:color w:val="auto"/>
        </w:rPr>
        <w:t xml:space="preserve">Michael Lewis attempted to understand why Goldman fought pugnaciously under such non-threatening circumstances to make sure that a former star programmer would be sentenced to jail. </w:t>
      </w:r>
      <w:r w:rsidR="00742B25">
        <w:rPr>
          <w:rFonts w:hAnsi="Times New Roman" w:cs="Times New Roman"/>
          <w:color w:val="auto"/>
        </w:rPr>
        <w:t xml:space="preserve">Lewis asked, </w:t>
      </w:r>
    </w:p>
    <w:p w14:paraId="1C781D56" w14:textId="77777777" w:rsidR="00C07E10" w:rsidRDefault="002318AA" w:rsidP="00C07E10">
      <w:pPr>
        <w:pStyle w:val="NormalWeb"/>
        <w:shd w:val="clear" w:color="auto" w:fill="FFFFFF"/>
        <w:ind w:left="720"/>
        <w:jc w:val="both"/>
        <w:rPr>
          <w:rFonts w:hAnsi="Times New Roman" w:cs="Times New Roman"/>
          <w:color w:val="auto"/>
        </w:rPr>
      </w:pPr>
      <w:r w:rsidRPr="00DD1543">
        <w:rPr>
          <w:rFonts w:hAnsi="Times New Roman" w:cs="Times New Roman"/>
          <w:color w:val="auto"/>
        </w:rPr>
        <w:t>Why on earth call the F.B.I.? Why coach your employees to say what they need to say on a witness stand to maximize the possib</w:t>
      </w:r>
      <w:r w:rsidR="00C07E10">
        <w:rPr>
          <w:rFonts w:hAnsi="Times New Roman" w:cs="Times New Roman"/>
          <w:color w:val="auto"/>
        </w:rPr>
        <w:t>ility of sending him to prison?</w:t>
      </w:r>
      <w:r w:rsidR="00426AA3">
        <w:rPr>
          <w:rStyle w:val="FootnoteReference"/>
          <w:rFonts w:hAnsi="Times New Roman" w:cs="Times New Roman"/>
          <w:color w:val="auto"/>
        </w:rPr>
        <w:footnoteReference w:id="56"/>
      </w:r>
    </w:p>
    <w:p w14:paraId="470A35D2" w14:textId="77777777" w:rsidR="007F1F19" w:rsidRPr="00DD1543" w:rsidRDefault="002318AA" w:rsidP="00C07E10">
      <w:pPr>
        <w:pStyle w:val="NormalWeb"/>
        <w:shd w:val="clear" w:color="auto" w:fill="FFFFFF"/>
        <w:jc w:val="both"/>
        <w:rPr>
          <w:rFonts w:hAnsi="Times New Roman" w:cs="Times New Roman"/>
          <w:color w:val="auto"/>
        </w:rPr>
      </w:pPr>
      <w:r w:rsidRPr="00DD1543">
        <w:rPr>
          <w:rFonts w:hAnsi="Times New Roman" w:cs="Times New Roman"/>
          <w:color w:val="auto"/>
        </w:rPr>
        <w:t xml:space="preserve">The best explanation Lewis finds is that Goldman had to send a message to shareholders, competitors, and employees that their code is original and genius. If anyone discovered that 95 percent of it is open-source, it would kill </w:t>
      </w:r>
      <w:r w:rsidRPr="00DD1543">
        <w:rPr>
          <w:rFonts w:hAnsi="Times New Roman" w:cs="Times New Roman"/>
          <w:color w:val="auto"/>
        </w:rPr>
        <w:lastRenderedPageBreak/>
        <w:t>Goldman’s reputation and the high bonuses of Goldman traders might suddenly seem less justifiable.</w:t>
      </w:r>
    </w:p>
    <w:p w14:paraId="6DBFA15D" w14:textId="381BB62A" w:rsidR="003F34E3" w:rsidRDefault="002318AA" w:rsidP="000B6E14">
      <w:pPr>
        <w:pStyle w:val="NormalWeb"/>
        <w:shd w:val="clear" w:color="auto" w:fill="FFFFFF"/>
        <w:spacing w:before="0" w:after="0"/>
        <w:ind w:firstLine="720"/>
        <w:jc w:val="both"/>
        <w:textAlignment w:val="baseline"/>
        <w:rPr>
          <w:rFonts w:hAnsi="Times New Roman" w:cs="Times New Roman"/>
          <w:color w:val="auto"/>
        </w:rPr>
      </w:pPr>
      <w:r w:rsidRPr="00DD1543">
        <w:rPr>
          <w:rFonts w:hAnsi="Times New Roman" w:cs="Times New Roman"/>
          <w:color w:val="auto"/>
        </w:rPr>
        <w:t>A year into his imprisonment, the Second Circuit Court of Appeals reluctantly overturned Aleynikov’s sentence on a technicality.</w:t>
      </w:r>
      <w:r w:rsidR="00AC4262">
        <w:rPr>
          <w:rStyle w:val="FootnoteReference"/>
          <w:rFonts w:hAnsi="Times New Roman" w:cs="Times New Roman"/>
          <w:color w:val="auto"/>
        </w:rPr>
        <w:footnoteReference w:id="57"/>
      </w:r>
      <w:r w:rsidRPr="00DD1543">
        <w:rPr>
          <w:rFonts w:hAnsi="Times New Roman" w:cs="Times New Roman"/>
          <w:color w:val="auto"/>
        </w:rPr>
        <w:t xml:space="preserve"> The court found that the two statutes used for his conviction had loopholes.</w:t>
      </w:r>
      <w:r w:rsidRPr="00DD1543">
        <w:rPr>
          <w:rFonts w:eastAsia="Times New Roman" w:hAnsi="Times New Roman" w:cs="Times New Roman"/>
          <w:color w:val="auto"/>
          <w:vertAlign w:val="superscript"/>
        </w:rPr>
        <w:footnoteReference w:id="58"/>
      </w:r>
      <w:r w:rsidRPr="00DD1543">
        <w:rPr>
          <w:rFonts w:hAnsi="Times New Roman" w:cs="Times New Roman"/>
          <w:color w:val="auto"/>
        </w:rPr>
        <w:t xml:space="preserve"> The </w:t>
      </w:r>
      <w:r w:rsidRPr="00DD1543">
        <w:rPr>
          <w:rFonts w:hAnsi="Times New Roman" w:cs="Times New Roman"/>
          <w:color w:val="auto"/>
        </w:rPr>
        <w:lastRenderedPageBreak/>
        <w:t>National Stolen Property Act (NSPA) was written to cover only “goods, wares, merchandise, securities or money</w:t>
      </w:r>
      <w:r w:rsidR="00CC7F3E">
        <w:rPr>
          <w:rFonts w:hAnsi="Times New Roman" w:cs="Times New Roman"/>
          <w:color w:val="auto"/>
        </w:rPr>
        <w:t>,” not intangible goods,</w:t>
      </w:r>
      <w:r w:rsidRPr="00DD1543">
        <w:rPr>
          <w:rFonts w:hAnsi="Times New Roman" w:cs="Times New Roman"/>
          <w:color w:val="auto"/>
        </w:rPr>
        <w:t xml:space="preserve"> while the Economic Espionage Act (EEA) covered the misappropriation of trade secrets that were designed to enter into inter-state commerce. Since Aleynikov</w:t>
      </w:r>
      <w:r w:rsidR="00742B25">
        <w:rPr>
          <w:rFonts w:hAnsi="Times New Roman" w:cs="Times New Roman"/>
          <w:color w:val="auto"/>
        </w:rPr>
        <w:t xml:space="preserve"> </w:t>
      </w:r>
      <w:r w:rsidR="00CC7F3E">
        <w:rPr>
          <w:rFonts w:hAnsi="Times New Roman" w:cs="Times New Roman"/>
          <w:color w:val="auto"/>
        </w:rPr>
        <w:t>did</w:t>
      </w:r>
      <w:r w:rsidRPr="00DD1543">
        <w:rPr>
          <w:rFonts w:hAnsi="Times New Roman" w:cs="Times New Roman"/>
          <w:color w:val="auto"/>
        </w:rPr>
        <w:t xml:space="preserve"> not remove anything physically out of Goldman’s offices, the NSPA did not apply. </w:t>
      </w:r>
      <w:r w:rsidR="000B6E14">
        <w:rPr>
          <w:rFonts w:hAnsi="Times New Roman" w:cs="Times New Roman"/>
          <w:color w:val="auto"/>
        </w:rPr>
        <w:t>B</w:t>
      </w:r>
      <w:r w:rsidR="00CC7F3E">
        <w:rPr>
          <w:rFonts w:hAnsi="Times New Roman" w:cs="Times New Roman"/>
          <w:color w:val="auto"/>
        </w:rPr>
        <w:t>ecause</w:t>
      </w:r>
      <w:r w:rsidRPr="00DD1543">
        <w:rPr>
          <w:rFonts w:hAnsi="Times New Roman" w:cs="Times New Roman"/>
          <w:color w:val="auto"/>
        </w:rPr>
        <w:t xml:space="preserve"> Goldman’s code was used internally and not for sale</w:t>
      </w:r>
      <w:r w:rsidR="00CC7F3E">
        <w:rPr>
          <w:rFonts w:hAnsi="Times New Roman" w:cs="Times New Roman"/>
          <w:color w:val="auto"/>
        </w:rPr>
        <w:t>,</w:t>
      </w:r>
      <w:r w:rsidRPr="00DD1543">
        <w:rPr>
          <w:rFonts w:hAnsi="Times New Roman" w:cs="Times New Roman"/>
          <w:color w:val="auto"/>
        </w:rPr>
        <w:t xml:space="preserve"> the court ruled that it did not meet the </w:t>
      </w:r>
      <w:r w:rsidR="000B6E14">
        <w:rPr>
          <w:rFonts w:hAnsi="Times New Roman" w:cs="Times New Roman"/>
          <w:color w:val="auto"/>
        </w:rPr>
        <w:t>EEA’s</w:t>
      </w:r>
      <w:r w:rsidRPr="00DD1543">
        <w:rPr>
          <w:rFonts w:hAnsi="Times New Roman" w:cs="Times New Roman"/>
          <w:color w:val="auto"/>
        </w:rPr>
        <w:t xml:space="preserve"> interstate commerce requirement.</w:t>
      </w:r>
      <w:r w:rsidRPr="00DD1543">
        <w:rPr>
          <w:rFonts w:eastAsia="Times New Roman" w:hAnsi="Times New Roman" w:cs="Times New Roman"/>
          <w:color w:val="auto"/>
          <w:vertAlign w:val="superscript"/>
        </w:rPr>
        <w:footnoteReference w:id="59"/>
      </w:r>
    </w:p>
    <w:p w14:paraId="6B9E5216" w14:textId="77777777" w:rsidR="00C55FF9" w:rsidRDefault="00C55FF9" w:rsidP="00C24430">
      <w:pPr>
        <w:pStyle w:val="NormalWeb"/>
        <w:shd w:val="clear" w:color="auto" w:fill="FFFFFF"/>
        <w:spacing w:before="0" w:after="0"/>
        <w:ind w:firstLine="720"/>
        <w:jc w:val="both"/>
        <w:textAlignment w:val="baseline"/>
        <w:rPr>
          <w:rFonts w:hAnsi="Times New Roman" w:cs="Times New Roman"/>
          <w:color w:val="auto"/>
        </w:rPr>
      </w:pPr>
    </w:p>
    <w:p w14:paraId="33C00603" w14:textId="6374FC36" w:rsidR="00476471" w:rsidRPr="0019489C" w:rsidRDefault="002318AA" w:rsidP="0019489C">
      <w:pPr>
        <w:pStyle w:val="NormalWeb"/>
        <w:shd w:val="clear" w:color="auto" w:fill="FFFFFF"/>
        <w:spacing w:before="0" w:after="0"/>
        <w:ind w:firstLine="720"/>
        <w:jc w:val="both"/>
        <w:textAlignment w:val="baseline"/>
        <w:rPr>
          <w:rFonts w:hAnsi="Times New Roman" w:cs="Times New Roman"/>
          <w:color w:val="auto"/>
        </w:rPr>
      </w:pPr>
      <w:r w:rsidRPr="0019489C">
        <w:rPr>
          <w:rFonts w:hAnsi="Times New Roman" w:cs="Times New Roman"/>
          <w:color w:val="auto"/>
        </w:rPr>
        <w:t>In his concurring opinion, Judge Calabresi called Congress to amend the EEA to cover the kind of information Aleynikov downloaded. Congress quickly reacted and closed the gap with a bipartisan vote and</w:t>
      </w:r>
      <w:r w:rsidR="0041237E">
        <w:rPr>
          <w:rFonts w:hAnsi="Times New Roman" w:cs="Times New Roman"/>
          <w:color w:val="auto"/>
        </w:rPr>
        <w:t xml:space="preserve"> </w:t>
      </w:r>
      <w:r w:rsidRPr="0019489C">
        <w:rPr>
          <w:rFonts w:hAnsi="Times New Roman" w:cs="Times New Roman"/>
          <w:color w:val="auto"/>
        </w:rPr>
        <w:t>President Barack Obama signed the reform into law</w:t>
      </w:r>
      <w:r w:rsidR="00BF5CEF">
        <w:rPr>
          <w:rFonts w:hAnsi="Times New Roman" w:cs="Times New Roman"/>
          <w:color w:val="auto"/>
        </w:rPr>
        <w:t xml:space="preserve"> in late December 2012.</w:t>
      </w:r>
      <w:r w:rsidR="00476471" w:rsidRPr="0019489C">
        <w:rPr>
          <w:rStyle w:val="FootnoteReference"/>
          <w:rFonts w:hAnsi="Times New Roman" w:cs="Times New Roman"/>
          <w:color w:val="auto"/>
        </w:rPr>
        <w:footnoteReference w:id="60"/>
      </w:r>
      <w:r w:rsidR="00476471" w:rsidRPr="0019489C">
        <w:rPr>
          <w:rFonts w:hAnsi="Times New Roman" w:cs="Times New Roman"/>
          <w:color w:val="auto"/>
        </w:rPr>
        <w:t xml:space="preserve"> The Act </w:t>
      </w:r>
      <w:r w:rsidR="00B935C5" w:rsidRPr="0019489C">
        <w:rPr>
          <w:rFonts w:hAnsi="Times New Roman" w:cs="Times New Roman"/>
          <w:color w:val="auto"/>
        </w:rPr>
        <w:t>added the word “service” in addition to “product” such that it would include secrets used internally but that relate to activities, like high frequency trading, that involve interstate commerce.</w:t>
      </w:r>
      <w:r w:rsidR="00476471" w:rsidRPr="0019489C">
        <w:rPr>
          <w:rFonts w:hAnsi="Times New Roman" w:cs="Times New Roman"/>
          <w:color w:val="auto"/>
        </w:rPr>
        <w:t xml:space="preserve"> A month later, President Obama signed the </w:t>
      </w:r>
      <w:r w:rsidR="00476471" w:rsidRPr="0019489C">
        <w:rPr>
          <w:rFonts w:hAnsi="Times New Roman" w:cs="Times New Roman"/>
          <w:color w:val="auto"/>
          <w:bdr w:val="none" w:sz="0" w:space="0" w:color="auto" w:frame="1"/>
        </w:rPr>
        <w:t>Foreign and Economic Espionage Penalty Enhancement Act</w:t>
      </w:r>
      <w:r w:rsidR="0033019B" w:rsidRPr="0019489C">
        <w:rPr>
          <w:rFonts w:hAnsi="Times New Roman" w:cs="Times New Roman"/>
          <w:color w:val="auto"/>
          <w:bdr w:val="none" w:sz="0" w:space="0" w:color="auto" w:frame="1"/>
        </w:rPr>
        <w:t>,</w:t>
      </w:r>
      <w:r w:rsidR="00476471" w:rsidRPr="0019489C">
        <w:rPr>
          <w:rFonts w:hAnsi="Times New Roman" w:cs="Times New Roman"/>
          <w:color w:val="auto"/>
          <w:bdr w:val="none" w:sz="0" w:space="0" w:color="auto" w:frame="1"/>
        </w:rPr>
        <w:t xml:space="preserve"> which enhances the penalties under the </w:t>
      </w:r>
      <w:r w:rsidR="00476471" w:rsidRPr="0019489C">
        <w:rPr>
          <w:rFonts w:hAnsi="Times New Roman" w:cs="Times New Roman"/>
          <w:color w:val="auto"/>
        </w:rPr>
        <w:t>Economic Espionage Act.</w:t>
      </w:r>
      <w:r w:rsidR="00ED2DBE" w:rsidRPr="0019489C">
        <w:rPr>
          <w:rStyle w:val="FootnoteReference"/>
          <w:rFonts w:hAnsi="Times New Roman" w:cs="Times New Roman"/>
          <w:color w:val="auto"/>
        </w:rPr>
        <w:footnoteReference w:id="61"/>
      </w:r>
      <w:r w:rsidR="0019489C" w:rsidRPr="0019489C">
        <w:rPr>
          <w:rFonts w:hAnsi="Times New Roman" w:cs="Times New Roman"/>
          <w:color w:val="auto"/>
        </w:rPr>
        <w:t xml:space="preserve"> Meanwhile, the Aleynikov case has been transferred to New York state prosecutors and Aleynikov is currently being criminally charged under state trade secret law, for the </w:t>
      </w:r>
      <w:r w:rsidR="0019489C">
        <w:rPr>
          <w:rFonts w:hAnsi="Times New Roman" w:cs="Times New Roman"/>
          <w:color w:val="252525"/>
          <w:shd w:val="clear" w:color="auto" w:fill="FFFFFF"/>
        </w:rPr>
        <w:t>“</w:t>
      </w:r>
      <w:r w:rsidR="0019489C" w:rsidRPr="0019489C">
        <w:rPr>
          <w:rFonts w:hAnsi="Times New Roman" w:cs="Times New Roman"/>
          <w:color w:val="252525"/>
          <w:shd w:val="clear" w:color="auto" w:fill="FFFFFF"/>
        </w:rPr>
        <w:t>unlawful use of secret scientific material</w:t>
      </w:r>
      <w:r w:rsidR="0019489C">
        <w:rPr>
          <w:rFonts w:hAnsi="Times New Roman" w:cs="Times New Roman"/>
          <w:color w:val="252525"/>
          <w:shd w:val="clear" w:color="auto" w:fill="FFFFFF"/>
        </w:rPr>
        <w:t>” and “</w:t>
      </w:r>
      <w:r w:rsidR="0019489C" w:rsidRPr="0019489C">
        <w:rPr>
          <w:rFonts w:hAnsi="Times New Roman" w:cs="Times New Roman"/>
          <w:color w:val="252525"/>
          <w:shd w:val="clear" w:color="auto" w:fill="FFFFFF"/>
        </w:rPr>
        <w:t>unlawful duplication of computer related material,</w:t>
      </w:r>
      <w:r w:rsidR="0019489C">
        <w:rPr>
          <w:rFonts w:hAnsi="Times New Roman" w:cs="Times New Roman"/>
          <w:color w:val="252525"/>
          <w:shd w:val="clear" w:color="auto" w:fill="FFFFFF"/>
        </w:rPr>
        <w:t>”</w:t>
      </w:r>
      <w:r w:rsidR="0019489C" w:rsidRPr="0019489C">
        <w:rPr>
          <w:rFonts w:hAnsi="Times New Roman" w:cs="Times New Roman"/>
          <w:color w:val="252525"/>
          <w:shd w:val="clear" w:color="auto" w:fill="FFFFFF"/>
        </w:rPr>
        <w:t xml:space="preserve"> based on a signed complaint by the same federal agent who led the investigation of the federal prosecution.</w:t>
      </w:r>
      <w:r w:rsidR="0019489C" w:rsidRPr="0019489C">
        <w:rPr>
          <w:rStyle w:val="FootnoteReference"/>
          <w:rFonts w:hAnsi="Times New Roman" w:cs="Times New Roman"/>
          <w:color w:val="252525"/>
          <w:shd w:val="clear" w:color="auto" w:fill="FFFFFF"/>
        </w:rPr>
        <w:footnoteReference w:id="62"/>
      </w:r>
      <w:r w:rsidR="0019489C" w:rsidRPr="0019489C">
        <w:rPr>
          <w:rStyle w:val="apple-converted-space"/>
          <w:rFonts w:hAnsi="Times New Roman" w:cs="Times New Roman"/>
          <w:color w:val="252525"/>
          <w:shd w:val="clear" w:color="auto" w:fill="FFFFFF"/>
        </w:rPr>
        <w:t> </w:t>
      </w:r>
    </w:p>
    <w:p w14:paraId="68B369D8" w14:textId="77777777" w:rsidR="007F1F19" w:rsidRPr="00DD1543" w:rsidRDefault="007F1F19" w:rsidP="00476471">
      <w:pPr>
        <w:rPr>
          <w:rFonts w:hAnsi="Times New Roman" w:cs="Times New Roman"/>
          <w:color w:val="auto"/>
        </w:rPr>
      </w:pPr>
    </w:p>
    <w:p w14:paraId="45F06B9E" w14:textId="77777777" w:rsidR="00026654" w:rsidRPr="00DD1543" w:rsidRDefault="001917D3" w:rsidP="001917D3">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The criminalization of trade secret law is particularly disturbing when understood in the context of the expansion of trade secret subject matter. </w:t>
      </w:r>
      <w:r w:rsidR="00026654" w:rsidRPr="00DD1543">
        <w:rPr>
          <w:rFonts w:hAnsi="Times New Roman" w:cs="Times New Roman"/>
          <w:color w:val="auto"/>
        </w:rPr>
        <w:t>The EEA defines trade secrets very broadly to include,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w:t>
      </w:r>
      <w:r w:rsidR="00026654">
        <w:rPr>
          <w:rStyle w:val="FootnoteReference"/>
          <w:rFonts w:hAnsi="Times New Roman" w:cs="Times New Roman"/>
          <w:color w:val="auto"/>
        </w:rPr>
        <w:footnoteReference w:id="63"/>
      </w:r>
      <w:r w:rsidR="00026654" w:rsidRPr="00DD1543">
        <w:rPr>
          <w:rFonts w:hAnsi="Times New Roman" w:cs="Times New Roman"/>
          <w:color w:val="auto"/>
        </w:rPr>
        <w:t xml:space="preserve"> </w:t>
      </w:r>
    </w:p>
    <w:p w14:paraId="335D78AC" w14:textId="77777777" w:rsidR="00026654" w:rsidRPr="00DD1543" w:rsidRDefault="00026654" w:rsidP="00026654">
      <w:pPr>
        <w:rPr>
          <w:rFonts w:hAnsi="Times New Roman" w:cs="Times New Roman"/>
          <w:color w:val="auto"/>
        </w:rPr>
      </w:pPr>
    </w:p>
    <w:p w14:paraId="23EB2405" w14:textId="77777777" w:rsidR="007F1F19" w:rsidRPr="00DD1543" w:rsidRDefault="002318AA" w:rsidP="00026654">
      <w:pPr>
        <w:ind w:firstLine="720"/>
        <w:rPr>
          <w:rFonts w:hAnsi="Times New Roman" w:cs="Times New Roman"/>
          <w:color w:val="auto"/>
        </w:rPr>
      </w:pPr>
      <w:r w:rsidRPr="00DD1543">
        <w:rPr>
          <w:rFonts w:hAnsi="Times New Roman" w:cs="Times New Roman"/>
          <w:color w:val="auto"/>
        </w:rPr>
        <w:t xml:space="preserve">Under the Uniform Trade Secrets Act, adopted by most states, the definition of a trade secret is </w:t>
      </w:r>
      <w:r w:rsidR="00026654">
        <w:rPr>
          <w:rFonts w:hAnsi="Times New Roman" w:cs="Times New Roman"/>
          <w:color w:val="auto"/>
        </w:rPr>
        <w:t xml:space="preserve">also </w:t>
      </w:r>
      <w:r w:rsidRPr="00DD1543">
        <w:rPr>
          <w:rFonts w:hAnsi="Times New Roman" w:cs="Times New Roman"/>
          <w:color w:val="auto"/>
        </w:rPr>
        <w:t>very broad.</w:t>
      </w:r>
      <w:r w:rsidR="003B21F6">
        <w:rPr>
          <w:rStyle w:val="FootnoteReference"/>
          <w:rFonts w:hAnsi="Times New Roman" w:cs="Times New Roman"/>
          <w:color w:val="auto"/>
        </w:rPr>
        <w:footnoteReference w:id="64"/>
      </w:r>
      <w:r w:rsidRPr="00DD1543">
        <w:rPr>
          <w:rFonts w:hAnsi="Times New Roman" w:cs="Times New Roman"/>
          <w:color w:val="auto"/>
        </w:rPr>
        <w:t xml:space="preserve"> Just as the scope of copyright and patent subject matter expands </w:t>
      </w:r>
      <w:r w:rsidRPr="00385116">
        <w:rPr>
          <w:rFonts w:hAnsi="Times New Roman" w:cs="Times New Roman"/>
          <w:color w:val="auto"/>
        </w:rPr>
        <w:t>through</w:t>
      </w:r>
      <w:r w:rsidR="000B6E14">
        <w:rPr>
          <w:rFonts w:hAnsi="Times New Roman" w:cs="Times New Roman"/>
          <w:color w:val="auto"/>
        </w:rPr>
        <w:t xml:space="preserve"> human capital</w:t>
      </w:r>
      <w:r w:rsidR="00385116">
        <w:rPr>
          <w:rFonts w:hAnsi="Times New Roman" w:cs="Times New Roman"/>
          <w:color w:val="auto"/>
        </w:rPr>
        <w:t xml:space="preserve"> law</w:t>
      </w:r>
      <w:r w:rsidRPr="00DD1543">
        <w:rPr>
          <w:rFonts w:hAnsi="Times New Roman" w:cs="Times New Roman"/>
          <w:color w:val="auto"/>
        </w:rPr>
        <w:t xml:space="preserve">, the type of information that is deemed secret in contemporary employment disputes frequently </w:t>
      </w:r>
      <w:r w:rsidR="00742B25">
        <w:rPr>
          <w:rFonts w:hAnsi="Times New Roman" w:cs="Times New Roman"/>
          <w:color w:val="auto"/>
        </w:rPr>
        <w:t>extends</w:t>
      </w:r>
      <w:r w:rsidR="00742B25" w:rsidRPr="00DD1543">
        <w:rPr>
          <w:rFonts w:hAnsi="Times New Roman" w:cs="Times New Roman"/>
          <w:color w:val="auto"/>
        </w:rPr>
        <w:t xml:space="preserve"> </w:t>
      </w:r>
      <w:r w:rsidRPr="00DD1543">
        <w:rPr>
          <w:rFonts w:hAnsi="Times New Roman" w:cs="Times New Roman"/>
          <w:color w:val="auto"/>
        </w:rPr>
        <w:t>beyond what the Uniform Trade Secret Act</w:t>
      </w:r>
      <w:r w:rsidR="002B4665">
        <w:rPr>
          <w:rFonts w:hAnsi="Times New Roman" w:cs="Times New Roman"/>
          <w:color w:val="auto"/>
        </w:rPr>
        <w:t xml:space="preserve"> </w:t>
      </w:r>
      <w:r w:rsidRPr="00DD1543">
        <w:rPr>
          <w:rFonts w:hAnsi="Times New Roman" w:cs="Times New Roman"/>
          <w:color w:val="auto"/>
        </w:rPr>
        <w:t xml:space="preserve">defines as a trade secret. Courts regularly accept the theory that under </w:t>
      </w:r>
      <w:r w:rsidR="00573CD8">
        <w:rPr>
          <w:rFonts w:hAnsi="Times New Roman" w:cs="Times New Roman"/>
          <w:color w:val="auto"/>
        </w:rPr>
        <w:t xml:space="preserve">an </w:t>
      </w:r>
      <w:r w:rsidRPr="00DD1543">
        <w:rPr>
          <w:rFonts w:hAnsi="Times New Roman" w:cs="Times New Roman"/>
          <w:color w:val="auto"/>
        </w:rPr>
        <w:t>employee</w:t>
      </w:r>
      <w:r w:rsidR="00573CD8">
        <w:rPr>
          <w:rFonts w:hAnsi="Times New Roman" w:cs="Times New Roman"/>
          <w:color w:val="auto"/>
        </w:rPr>
        <w:t>’s</w:t>
      </w:r>
      <w:r w:rsidRPr="00DD1543">
        <w:rPr>
          <w:rFonts w:hAnsi="Times New Roman" w:cs="Times New Roman"/>
          <w:color w:val="auto"/>
        </w:rPr>
        <w:t xml:space="preserve"> duty of loyalty, information can be “confidential” or “proprietary” even if no</w:t>
      </w:r>
      <w:r w:rsidR="00B935C5" w:rsidRPr="00DD1543">
        <w:rPr>
          <w:rFonts w:hAnsi="Times New Roman" w:cs="Times New Roman"/>
          <w:color w:val="auto"/>
        </w:rPr>
        <w:t>t a trade secret</w:t>
      </w:r>
      <w:r w:rsidR="00573CD8">
        <w:rPr>
          <w:rFonts w:hAnsi="Times New Roman" w:cs="Times New Roman"/>
          <w:color w:val="auto"/>
        </w:rPr>
        <w:t>.</w:t>
      </w:r>
      <w:r w:rsidRPr="00DD1543">
        <w:rPr>
          <w:rFonts w:hAnsi="Times New Roman" w:cs="Times New Roman"/>
          <w:color w:val="auto"/>
          <w:vertAlign w:val="superscript"/>
        </w:rPr>
        <w:footnoteReference w:id="65"/>
      </w:r>
      <w:r w:rsidR="00742B25">
        <w:rPr>
          <w:rFonts w:hAnsi="Times New Roman" w:cs="Times New Roman"/>
          <w:color w:val="auto"/>
        </w:rPr>
        <w:t xml:space="preserve"> </w:t>
      </w:r>
      <w:r w:rsidR="000B6E14">
        <w:rPr>
          <w:rFonts w:hAnsi="Times New Roman" w:cs="Times New Roman"/>
          <w:color w:val="auto"/>
        </w:rPr>
        <w:t>Contractually, it</w:t>
      </w:r>
      <w:r w:rsidR="00573CD8">
        <w:rPr>
          <w:rFonts w:hAnsi="Times New Roman" w:cs="Times New Roman"/>
          <w:color w:val="auto"/>
        </w:rPr>
        <w:t xml:space="preserve"> has</w:t>
      </w:r>
      <w:r w:rsidR="000B6E14">
        <w:rPr>
          <w:rFonts w:hAnsi="Times New Roman" w:cs="Times New Roman"/>
          <w:color w:val="auto"/>
        </w:rPr>
        <w:t xml:space="preserve"> </w:t>
      </w:r>
      <w:r w:rsidR="00573CD8">
        <w:rPr>
          <w:rFonts w:hAnsi="Times New Roman" w:cs="Times New Roman"/>
          <w:color w:val="auto"/>
        </w:rPr>
        <w:t xml:space="preserve">become standard to include </w:t>
      </w:r>
      <w:r w:rsidRPr="00DD1543">
        <w:rPr>
          <w:rFonts w:hAnsi="Times New Roman" w:cs="Times New Roman"/>
          <w:color w:val="auto"/>
        </w:rPr>
        <w:t xml:space="preserve">broad and </w:t>
      </w:r>
      <w:r w:rsidR="00941B27" w:rsidRPr="00DD1543">
        <w:rPr>
          <w:rFonts w:hAnsi="Times New Roman" w:cs="Times New Roman"/>
          <w:color w:val="auto"/>
        </w:rPr>
        <w:t>open-ended</w:t>
      </w:r>
      <w:r w:rsidRPr="00DD1543">
        <w:rPr>
          <w:rFonts w:hAnsi="Times New Roman" w:cs="Times New Roman"/>
          <w:color w:val="auto"/>
        </w:rPr>
        <w:t xml:space="preserve"> lists of confidential information that goes beyond the statutory definition of trade secrets</w:t>
      </w:r>
      <w:r w:rsidR="00573CD8">
        <w:rPr>
          <w:rFonts w:hAnsi="Times New Roman" w:cs="Times New Roman"/>
          <w:color w:val="auto"/>
        </w:rPr>
        <w:t>.</w:t>
      </w:r>
      <w:r w:rsidRPr="00DD1543">
        <w:rPr>
          <w:rFonts w:hAnsi="Times New Roman" w:cs="Times New Roman"/>
          <w:color w:val="auto"/>
        </w:rPr>
        <w:t xml:space="preserve"> Take for example Google’s definition of confidential information in the standard contract new recruits are required to sign:</w:t>
      </w:r>
    </w:p>
    <w:p w14:paraId="0ED19CE0" w14:textId="77777777" w:rsidR="007F1F19" w:rsidRPr="00DD1543" w:rsidRDefault="002318AA" w:rsidP="00C06C80">
      <w:pPr>
        <w:pStyle w:val="NormalWeb"/>
        <w:spacing w:after="360"/>
        <w:ind w:left="720" w:right="360"/>
        <w:jc w:val="both"/>
        <w:rPr>
          <w:rFonts w:hAnsi="Times New Roman" w:cs="Times New Roman"/>
          <w:color w:val="auto"/>
        </w:rPr>
      </w:pPr>
      <w:r w:rsidRPr="00C06C80">
        <w:rPr>
          <w:rFonts w:hAnsi="Times New Roman" w:cs="Times New Roman"/>
          <w:color w:val="auto"/>
          <w:u w:val="single"/>
        </w:rPr>
        <w:t>Google Confidential Information</w:t>
      </w:r>
      <w:r w:rsidRPr="00DD1543">
        <w:rPr>
          <w:rFonts w:hAnsi="Times New Roman" w:cs="Times New Roman"/>
          <w:color w:val="auto"/>
        </w:rPr>
        <w:t xml:space="preserve"> means, without limitation, any information in any form that relates to Google or Google’s business and that is not generally known. Examples include Google’s non-public information that relates to its actual or anticipated business, products or services, research, development, technical data, customers, customer lists, markets, software, hardware, finances, employee data and evaluation, trade secrets or know-how, intellectual property rights, including but not limited to, Assigned Inventions (as defined below), unpublished or pending patent applications and all related patent rights, and user data (i.e., any information directly or indirectly collected by Google from users of its services). Google Confidential Information also includes any information of third parties (e.g., Google’s advertisers, collaborators, subscribers, customers, suppliers, partners, vendors, partners, licensees or licensors) that was provided to Google on a confidential basis.</w:t>
      </w:r>
      <w:r w:rsidR="000B6E14">
        <w:rPr>
          <w:rStyle w:val="FootnoteReference"/>
          <w:rFonts w:hAnsi="Times New Roman" w:cs="Times New Roman"/>
          <w:color w:val="auto"/>
        </w:rPr>
        <w:footnoteReference w:id="66"/>
      </w:r>
      <w:r w:rsidRPr="00DD1543">
        <w:rPr>
          <w:rFonts w:hAnsi="Times New Roman" w:cs="Times New Roman"/>
          <w:color w:val="auto"/>
        </w:rPr>
        <w:t xml:space="preserve"> </w:t>
      </w:r>
    </w:p>
    <w:p w14:paraId="1A7BF4AD" w14:textId="76A9EFB9" w:rsidR="00026654" w:rsidRDefault="002318AA" w:rsidP="00026654">
      <w:pPr>
        <w:spacing w:before="100" w:after="100"/>
        <w:ind w:firstLine="720"/>
        <w:rPr>
          <w:rFonts w:hAnsi="Times New Roman" w:cs="Times New Roman"/>
          <w:color w:val="auto"/>
        </w:rPr>
      </w:pPr>
      <w:r w:rsidRPr="00DD1543">
        <w:rPr>
          <w:rFonts w:hAnsi="Times New Roman" w:cs="Times New Roman"/>
          <w:color w:val="auto"/>
        </w:rPr>
        <w:t xml:space="preserve">The contract then states that “all Google Confidential Information that I use or generate in connection with my employment belongs to </w:t>
      </w:r>
      <w:r w:rsidRPr="00DD1543">
        <w:rPr>
          <w:rFonts w:hAnsi="Times New Roman" w:cs="Times New Roman"/>
          <w:color w:val="auto"/>
        </w:rPr>
        <w:lastRenderedPageBreak/>
        <w:t xml:space="preserve">Google.” </w:t>
      </w:r>
      <w:r w:rsidR="00605975">
        <w:rPr>
          <w:rFonts w:hAnsi="Times New Roman" w:cs="Times New Roman"/>
          <w:color w:val="auto"/>
        </w:rPr>
        <w:t>W</w:t>
      </w:r>
      <w:r w:rsidRPr="00385116">
        <w:rPr>
          <w:rFonts w:hAnsi="Times New Roman" w:cs="Times New Roman"/>
          <w:color w:val="auto"/>
        </w:rPr>
        <w:t>hile some jurisdictions have stated clearly that if information is not a trade secret</w:t>
      </w:r>
      <w:r w:rsidR="000B6E14">
        <w:rPr>
          <w:rFonts w:hAnsi="Times New Roman" w:cs="Times New Roman"/>
          <w:color w:val="auto"/>
        </w:rPr>
        <w:t xml:space="preserve"> under the state trade secret statute</w:t>
      </w:r>
      <w:r w:rsidRPr="00385116">
        <w:rPr>
          <w:rFonts w:hAnsi="Times New Roman" w:cs="Times New Roman"/>
          <w:color w:val="auto"/>
        </w:rPr>
        <w:t>, the employer can have no legal interest in prohibiting its use</w:t>
      </w:r>
      <w:r w:rsidR="00605975">
        <w:rPr>
          <w:rFonts w:hAnsi="Times New Roman" w:cs="Times New Roman"/>
          <w:color w:val="auto"/>
        </w:rPr>
        <w:t>,</w:t>
      </w:r>
      <w:r w:rsidR="00605975">
        <w:rPr>
          <w:rStyle w:val="FootnoteReference"/>
          <w:rFonts w:hAnsi="Times New Roman" w:cs="Times New Roman"/>
          <w:color w:val="auto"/>
        </w:rPr>
        <w:footnoteReference w:id="67"/>
      </w:r>
      <w:r w:rsidR="00605975">
        <w:rPr>
          <w:rFonts w:hAnsi="Times New Roman" w:cs="Times New Roman"/>
          <w:color w:val="auto"/>
        </w:rPr>
        <w:t xml:space="preserve"> other</w:t>
      </w:r>
      <w:r w:rsidR="00605975" w:rsidRPr="00DD1543">
        <w:rPr>
          <w:rFonts w:hAnsi="Times New Roman" w:cs="Times New Roman"/>
          <w:color w:val="auto"/>
        </w:rPr>
        <w:t xml:space="preserve"> states </w:t>
      </w:r>
      <w:r w:rsidR="00605975">
        <w:rPr>
          <w:rFonts w:hAnsi="Times New Roman" w:cs="Times New Roman"/>
          <w:color w:val="auto"/>
        </w:rPr>
        <w:t>allow protection of</w:t>
      </w:r>
      <w:r w:rsidR="00605975" w:rsidRPr="00DD1543">
        <w:rPr>
          <w:rFonts w:hAnsi="Times New Roman" w:cs="Times New Roman"/>
          <w:color w:val="auto"/>
        </w:rPr>
        <w:t xml:space="preserve"> </w:t>
      </w:r>
      <w:r w:rsidR="00605975">
        <w:rPr>
          <w:rFonts w:hAnsi="Times New Roman" w:cs="Times New Roman"/>
          <w:color w:val="auto"/>
        </w:rPr>
        <w:t>information beyond what the law deems a trade secret, including information that is public</w:t>
      </w:r>
      <w:r w:rsidRPr="00385116">
        <w:rPr>
          <w:rFonts w:hAnsi="Times New Roman" w:cs="Times New Roman"/>
          <w:color w:val="auto"/>
        </w:rPr>
        <w:t>.</w:t>
      </w:r>
      <w:r w:rsidR="00605975" w:rsidRPr="00DD1543">
        <w:rPr>
          <w:rFonts w:hAnsi="Times New Roman" w:cs="Times New Roman"/>
          <w:color w:val="auto"/>
          <w:vertAlign w:val="superscript"/>
        </w:rPr>
        <w:footnoteReference w:id="68"/>
      </w:r>
      <w:r w:rsidRPr="00DD1543">
        <w:rPr>
          <w:rFonts w:hAnsi="Times New Roman" w:cs="Times New Roman"/>
          <w:color w:val="auto"/>
        </w:rPr>
        <w:t xml:space="preserve"> The Seventh Circuit</w:t>
      </w:r>
      <w:r w:rsidR="000B755D">
        <w:rPr>
          <w:rFonts w:hAnsi="Times New Roman" w:cs="Times New Roman"/>
          <w:color w:val="auto"/>
        </w:rPr>
        <w:t>,</w:t>
      </w:r>
      <w:r w:rsidRPr="00DD1543">
        <w:rPr>
          <w:rFonts w:hAnsi="Times New Roman" w:cs="Times New Roman"/>
          <w:color w:val="auto"/>
        </w:rPr>
        <w:t xml:space="preserve"> for example</w:t>
      </w:r>
      <w:r w:rsidR="000B755D">
        <w:rPr>
          <w:rFonts w:hAnsi="Times New Roman" w:cs="Times New Roman"/>
          <w:color w:val="auto"/>
        </w:rPr>
        <w:t>,</w:t>
      </w:r>
      <w:r w:rsidRPr="00DD1543">
        <w:rPr>
          <w:rFonts w:hAnsi="Times New Roman" w:cs="Times New Roman"/>
          <w:color w:val="auto"/>
        </w:rPr>
        <w:t xml:space="preserve"> stated</w:t>
      </w:r>
      <w:r w:rsidR="000B23E8">
        <w:rPr>
          <w:rFonts w:hAnsi="Times New Roman" w:cs="Times New Roman"/>
          <w:color w:val="auto"/>
        </w:rPr>
        <w:t xml:space="preserve"> that</w:t>
      </w:r>
      <w:r w:rsidR="000B6E14">
        <w:rPr>
          <w:rFonts w:hAnsi="Times New Roman" w:cs="Times New Roman"/>
          <w:color w:val="auto"/>
        </w:rPr>
        <w:t xml:space="preserve"> </w:t>
      </w:r>
      <w:r w:rsidRPr="00DD1543">
        <w:rPr>
          <w:rFonts w:hAnsi="Times New Roman" w:cs="Times New Roman"/>
          <w:color w:val="auto"/>
        </w:rPr>
        <w:t>“it is unimaginable that someone who steals property, business opportunities, and the labor of the firm's staff would get a free pass just because none of what he filched is a trade secret…An assertion of trade secret in a customer list does not wipe out claims of theft, fraud, and breach of the duty of loyalty that would be sound even if the customer list were a public record.”</w:t>
      </w:r>
      <w:r w:rsidRPr="00DD1543">
        <w:rPr>
          <w:rFonts w:hAnsi="Times New Roman" w:cs="Times New Roman"/>
          <w:color w:val="auto"/>
          <w:vertAlign w:val="superscript"/>
        </w:rPr>
        <w:footnoteReference w:id="69"/>
      </w:r>
      <w:r w:rsidR="000B6E14">
        <w:rPr>
          <w:rFonts w:hAnsi="Times New Roman" w:cs="Times New Roman"/>
          <w:color w:val="auto"/>
        </w:rPr>
        <w:t xml:space="preserve"> Another court explained that “</w:t>
      </w:r>
      <w:r w:rsidRPr="00DD1543">
        <w:rPr>
          <w:rFonts w:hAnsi="Times New Roman" w:cs="Times New Roman"/>
          <w:color w:val="auto"/>
        </w:rPr>
        <w:t>to the extent [a former employee] disclosed confidential information to Defendants and that information was not a “trade secret,” Plaintiffs are entitled to seek redress for Defendants' tortious interference with [former employee's] confidentiality contracts.</w:t>
      </w:r>
      <w:r w:rsidR="00DA6CA9">
        <w:rPr>
          <w:rFonts w:hAnsi="Times New Roman" w:cs="Times New Roman"/>
          <w:color w:val="auto"/>
        </w:rPr>
        <w:t>”</w:t>
      </w:r>
      <w:r w:rsidRPr="00DD1543">
        <w:rPr>
          <w:rFonts w:hAnsi="Times New Roman" w:cs="Times New Roman"/>
          <w:color w:val="auto"/>
          <w:vertAlign w:val="superscript"/>
        </w:rPr>
        <w:footnoteReference w:id="70"/>
      </w:r>
      <w:r w:rsidR="00026654">
        <w:rPr>
          <w:rFonts w:hAnsi="Times New Roman" w:cs="Times New Roman"/>
          <w:color w:val="auto"/>
        </w:rPr>
        <w:t xml:space="preserve"> </w:t>
      </w:r>
    </w:p>
    <w:p w14:paraId="20664646" w14:textId="77777777" w:rsidR="00340EE9" w:rsidRDefault="00340EE9" w:rsidP="00026654">
      <w:pPr>
        <w:spacing w:before="100" w:after="100"/>
        <w:ind w:firstLine="720"/>
        <w:rPr>
          <w:rFonts w:hAnsi="Times New Roman" w:cs="Times New Roman"/>
          <w:color w:val="auto"/>
        </w:rPr>
      </w:pPr>
    </w:p>
    <w:p w14:paraId="0EA2B277" w14:textId="0C1376AB" w:rsidR="007F1F19" w:rsidRPr="00DD1543" w:rsidRDefault="00026654" w:rsidP="00245925">
      <w:pPr>
        <w:spacing w:before="100" w:after="100"/>
        <w:ind w:firstLine="720"/>
        <w:rPr>
          <w:rFonts w:hAnsi="Times New Roman" w:cs="Times New Roman"/>
          <w:color w:val="auto"/>
        </w:rPr>
      </w:pPr>
      <w:r>
        <w:rPr>
          <w:rFonts w:hAnsi="Times New Roman" w:cs="Times New Roman"/>
          <w:color w:val="auto"/>
        </w:rPr>
        <w:t xml:space="preserve">The web of statutes and contractual definitions made available for employers to claim secrecy has meant that confidential information becomes a catch all category under human capital law, </w:t>
      </w:r>
      <w:r w:rsidR="009540DC">
        <w:rPr>
          <w:rFonts w:hAnsi="Times New Roman" w:cs="Times New Roman"/>
          <w:color w:val="auto"/>
        </w:rPr>
        <w:t xml:space="preserve">as employers </w:t>
      </w:r>
      <w:r>
        <w:rPr>
          <w:rFonts w:hAnsi="Times New Roman" w:cs="Times New Roman"/>
          <w:color w:val="auto"/>
        </w:rPr>
        <w:t>assert ownership not merely over concrete information but also knowledge that has</w:t>
      </w:r>
      <w:r w:rsidR="00B22B59">
        <w:rPr>
          <w:rFonts w:hAnsi="Times New Roman" w:cs="Times New Roman"/>
          <w:color w:val="auto"/>
        </w:rPr>
        <w:t xml:space="preserve"> </w:t>
      </w:r>
      <w:r>
        <w:rPr>
          <w:rFonts w:hAnsi="Times New Roman" w:cs="Times New Roman"/>
          <w:color w:val="auto"/>
        </w:rPr>
        <w:t xml:space="preserve">not traditionally been commodified. Coupled with the increased criminalization of the misappropriation of such knowledge, cognitive controls become airtight. </w:t>
      </w:r>
      <w:r w:rsidRPr="00DD1543">
        <w:rPr>
          <w:rFonts w:hAnsi="Times New Roman" w:cs="Times New Roman"/>
          <w:color w:val="auto"/>
        </w:rPr>
        <w:t xml:space="preserve">While the </w:t>
      </w:r>
      <w:r>
        <w:rPr>
          <w:rFonts w:hAnsi="Times New Roman" w:cs="Times New Roman"/>
          <w:color w:val="auto"/>
        </w:rPr>
        <w:t>EEA</w:t>
      </w:r>
      <w:r w:rsidRPr="00DD1543">
        <w:rPr>
          <w:rFonts w:hAnsi="Times New Roman" w:cs="Times New Roman"/>
          <w:color w:val="auto"/>
        </w:rPr>
        <w:t xml:space="preserve"> was intended primarily to fight international post-cold war espionage,</w:t>
      </w:r>
      <w:r w:rsidRPr="00DD1543">
        <w:rPr>
          <w:rFonts w:eastAsia="Times New Roman" w:hAnsi="Times New Roman" w:cs="Times New Roman"/>
          <w:color w:val="auto"/>
          <w:vertAlign w:val="superscript"/>
        </w:rPr>
        <w:footnoteReference w:id="71"/>
      </w:r>
      <w:r w:rsidRPr="00DD1543">
        <w:rPr>
          <w:rFonts w:hAnsi="Times New Roman" w:cs="Times New Roman"/>
          <w:color w:val="auto"/>
        </w:rPr>
        <w:t xml:space="preserve"> in practice the criminal provisions have targeted mostly domestic trade secret misappropriation.</w:t>
      </w:r>
      <w:r w:rsidRPr="00DD1543">
        <w:rPr>
          <w:rFonts w:eastAsia="Times New Roman" w:hAnsi="Times New Roman" w:cs="Times New Roman"/>
          <w:color w:val="auto"/>
          <w:vertAlign w:val="superscript"/>
        </w:rPr>
        <w:footnoteReference w:id="72"/>
      </w:r>
      <w:r w:rsidRPr="00DD1543">
        <w:rPr>
          <w:rFonts w:hAnsi="Times New Roman" w:cs="Times New Roman"/>
          <w:color w:val="auto"/>
        </w:rPr>
        <w:t xml:space="preserve"> The vast </w:t>
      </w:r>
      <w:r w:rsidRPr="00DD1543">
        <w:rPr>
          <w:rFonts w:hAnsi="Times New Roman" w:cs="Times New Roman"/>
          <w:color w:val="auto"/>
        </w:rPr>
        <w:lastRenderedPageBreak/>
        <w:t>majority of these prosecutions have been brought against insiders</w:t>
      </w:r>
      <w:r>
        <w:rPr>
          <w:rFonts w:hAnsi="Times New Roman" w:cs="Times New Roman"/>
          <w:color w:val="auto"/>
        </w:rPr>
        <w:t>, usually employees,</w:t>
      </w:r>
      <w:r w:rsidRPr="00DD1543">
        <w:rPr>
          <w:rFonts w:hAnsi="Times New Roman" w:cs="Times New Roman"/>
          <w:color w:val="auto"/>
        </w:rPr>
        <w:t xml:space="preserve"> seeking to leave their employer.</w:t>
      </w:r>
      <w:r w:rsidRPr="00DD1543">
        <w:rPr>
          <w:rFonts w:eastAsia="Times New Roman" w:hAnsi="Times New Roman" w:cs="Times New Roman"/>
          <w:color w:val="auto"/>
          <w:vertAlign w:val="superscript"/>
        </w:rPr>
        <w:footnoteReference w:id="73"/>
      </w:r>
      <w:r w:rsidRPr="00DD1543">
        <w:rPr>
          <w:rFonts w:hAnsi="Times New Roman" w:cs="Times New Roman"/>
          <w:color w:val="auto"/>
        </w:rPr>
        <w:t xml:space="preserve"> As the </w:t>
      </w:r>
      <w:r w:rsidRPr="00F528E6">
        <w:rPr>
          <w:rFonts w:hAnsi="Times New Roman" w:cs="Times New Roman"/>
          <w:i/>
          <w:color w:val="auto"/>
        </w:rPr>
        <w:t>Aleynikov</w:t>
      </w:r>
      <w:r w:rsidRPr="004604B6">
        <w:rPr>
          <w:rFonts w:hAnsi="Times New Roman" w:cs="Times New Roman"/>
          <w:color w:val="auto"/>
        </w:rPr>
        <w:t xml:space="preserve"> case</w:t>
      </w:r>
      <w:r w:rsidRPr="00DD1543">
        <w:rPr>
          <w:rFonts w:hAnsi="Times New Roman" w:cs="Times New Roman"/>
          <w:color w:val="auto"/>
        </w:rPr>
        <w:t xml:space="preserve"> demonstrates, the act of misappropriation under the EEA covers broad activities, including attempts with no actual harm.</w:t>
      </w:r>
      <w:r w:rsidRPr="00DD1543">
        <w:rPr>
          <w:rFonts w:eastAsia="Times New Roman" w:hAnsi="Times New Roman" w:cs="Times New Roman"/>
          <w:color w:val="auto"/>
          <w:vertAlign w:val="superscript"/>
        </w:rPr>
        <w:footnoteReference w:id="74"/>
      </w:r>
      <w:r w:rsidRPr="00DD1543">
        <w:rPr>
          <w:rFonts w:hAnsi="Times New Roman" w:cs="Times New Roman"/>
          <w:color w:val="auto"/>
        </w:rPr>
        <w:t xml:space="preserve"> As a result, the statute covers the types of activities employees routinely engage in throughout their careers</w:t>
      </w:r>
      <w:r>
        <w:rPr>
          <w:rFonts w:hAnsi="Times New Roman" w:cs="Times New Roman"/>
          <w:color w:val="auto"/>
        </w:rPr>
        <w:t xml:space="preserve"> such as</w:t>
      </w:r>
      <w:r w:rsidRPr="00DD1543">
        <w:rPr>
          <w:rFonts w:hAnsi="Times New Roman" w:cs="Times New Roman"/>
          <w:color w:val="auto"/>
        </w:rPr>
        <w:t xml:space="preserve"> memorization of information and the disclosure of in</w:t>
      </w:r>
      <w:r w:rsidR="00E63E67">
        <w:rPr>
          <w:rFonts w:hAnsi="Times New Roman" w:cs="Times New Roman"/>
          <w:color w:val="auto"/>
        </w:rPr>
        <w:t>sider knowledge post-employment.</w:t>
      </w:r>
      <w:r w:rsidRPr="00DD1543">
        <w:rPr>
          <w:rFonts w:eastAsia="Times New Roman" w:hAnsi="Times New Roman" w:cs="Times New Roman"/>
          <w:color w:val="auto"/>
          <w:vertAlign w:val="superscript"/>
        </w:rPr>
        <w:footnoteReference w:id="75"/>
      </w:r>
      <w:r w:rsidR="00EF3D98">
        <w:rPr>
          <w:rFonts w:hAnsi="Times New Roman" w:cs="Times New Roman"/>
          <w:color w:val="auto"/>
        </w:rPr>
        <w:t xml:space="preserve"> </w:t>
      </w:r>
      <w:r w:rsidRPr="00DD1543">
        <w:rPr>
          <w:rFonts w:hAnsi="Times New Roman" w:cs="Times New Roman"/>
          <w:color w:val="auto"/>
        </w:rPr>
        <w:t xml:space="preserve">Many </w:t>
      </w:r>
      <w:r>
        <w:rPr>
          <w:rFonts w:hAnsi="Times New Roman" w:cs="Times New Roman"/>
          <w:color w:val="auto"/>
        </w:rPr>
        <w:t xml:space="preserve">routine </w:t>
      </w:r>
      <w:r w:rsidRPr="00DD1543">
        <w:rPr>
          <w:rFonts w:hAnsi="Times New Roman" w:cs="Times New Roman"/>
          <w:color w:val="auto"/>
        </w:rPr>
        <w:t xml:space="preserve">behaviors among workers are </w:t>
      </w:r>
      <w:r>
        <w:rPr>
          <w:rFonts w:hAnsi="Times New Roman" w:cs="Times New Roman"/>
          <w:color w:val="auto"/>
        </w:rPr>
        <w:t xml:space="preserve">now </w:t>
      </w:r>
      <w:r w:rsidRPr="00DD1543">
        <w:rPr>
          <w:rFonts w:hAnsi="Times New Roman" w:cs="Times New Roman"/>
          <w:color w:val="auto"/>
        </w:rPr>
        <w:t xml:space="preserve">criminalized. For example, according to one recent survey, sixty-two percent of employees think it </w:t>
      </w:r>
      <w:r>
        <w:rPr>
          <w:rFonts w:hAnsi="Times New Roman" w:cs="Times New Roman"/>
          <w:color w:val="auto"/>
        </w:rPr>
        <w:t xml:space="preserve">is </w:t>
      </w:r>
      <w:r w:rsidRPr="00DD1543">
        <w:rPr>
          <w:rFonts w:hAnsi="Times New Roman" w:cs="Times New Roman"/>
          <w:color w:val="auto"/>
        </w:rPr>
        <w:t>acceptable to transfer corporate data to their personal computers, tablets, smartphones and cloud file-sharing apps.</w:t>
      </w:r>
      <w:r w:rsidRPr="00DD1543">
        <w:rPr>
          <w:rFonts w:eastAsia="Times New Roman" w:hAnsi="Times New Roman" w:cs="Times New Roman"/>
          <w:color w:val="auto"/>
          <w:vertAlign w:val="superscript"/>
        </w:rPr>
        <w:footnoteReference w:id="76"/>
      </w:r>
      <w:r w:rsidRPr="00DD1543">
        <w:rPr>
          <w:rFonts w:hAnsi="Times New Roman" w:cs="Times New Roman"/>
          <w:color w:val="auto"/>
        </w:rPr>
        <w:t xml:space="preserve"> And yet</w:t>
      </w:r>
      <w:r w:rsidR="00245925">
        <w:rPr>
          <w:rFonts w:hAnsi="Times New Roman" w:cs="Times New Roman"/>
          <w:color w:val="auto"/>
        </w:rPr>
        <w:t>,</w:t>
      </w:r>
      <w:r w:rsidRPr="00DD1543">
        <w:rPr>
          <w:rFonts w:hAnsi="Times New Roman" w:cs="Times New Roman"/>
          <w:color w:val="auto"/>
        </w:rPr>
        <w:t xml:space="preserve"> even routine self-storage and data backing risk qualifying as misappropriation under the EEA. Rochelle Dreyfuss described the 1996 enactment of the EEA</w:t>
      </w:r>
      <w:r>
        <w:rPr>
          <w:rFonts w:hAnsi="Times New Roman" w:cs="Times New Roman"/>
          <w:color w:val="auto"/>
        </w:rPr>
        <w:t xml:space="preserve"> as</w:t>
      </w:r>
      <w:r w:rsidRPr="00DD1543">
        <w:rPr>
          <w:rFonts w:hAnsi="Times New Roman" w:cs="Times New Roman"/>
          <w:color w:val="auto"/>
        </w:rPr>
        <w:t xml:space="preserve"> “drastically chang</w:t>
      </w:r>
      <w:r>
        <w:rPr>
          <w:rFonts w:hAnsi="Times New Roman" w:cs="Times New Roman"/>
          <w:color w:val="auto"/>
        </w:rPr>
        <w:t>[ing]</w:t>
      </w:r>
      <w:r w:rsidRPr="00DD1543">
        <w:rPr>
          <w:rFonts w:hAnsi="Times New Roman" w:cs="Times New Roman"/>
          <w:color w:val="auto"/>
        </w:rPr>
        <w:t xml:space="preserve"> the bargain between t</w:t>
      </w:r>
      <w:r w:rsidR="00D13537">
        <w:rPr>
          <w:rFonts w:hAnsi="Times New Roman" w:cs="Times New Roman"/>
          <w:color w:val="auto"/>
        </w:rPr>
        <w:t>he public and the rights holder</w:t>
      </w:r>
      <w:r w:rsidRPr="00DD1543">
        <w:rPr>
          <w:rFonts w:hAnsi="Times New Roman" w:cs="Times New Roman"/>
          <w:color w:val="auto"/>
        </w:rPr>
        <w:t>”</w:t>
      </w:r>
      <w:r w:rsidR="005D6F87">
        <w:rPr>
          <w:rFonts w:hAnsi="Times New Roman" w:cs="Times New Roman"/>
          <w:color w:val="auto"/>
        </w:rPr>
        <w:t xml:space="preserve"> and would likely stifle innovation</w:t>
      </w:r>
      <w:r w:rsidR="00D13537">
        <w:rPr>
          <w:rFonts w:hAnsi="Times New Roman" w:cs="Times New Roman"/>
          <w:color w:val="auto"/>
        </w:rPr>
        <w:t xml:space="preserve"> though she remained hopeful that the Act </w:t>
      </w:r>
      <w:r w:rsidR="005D6F87">
        <w:rPr>
          <w:rFonts w:hAnsi="Times New Roman" w:cs="Times New Roman"/>
          <w:color w:val="auto"/>
        </w:rPr>
        <w:t>would be employed with great caution</w:t>
      </w:r>
      <w:r w:rsidR="00D13537">
        <w:rPr>
          <w:rFonts w:hAnsi="Times New Roman" w:cs="Times New Roman"/>
          <w:color w:val="auto"/>
        </w:rPr>
        <w:t>.</w:t>
      </w:r>
      <w:r w:rsidR="00D13537">
        <w:rPr>
          <w:rStyle w:val="FootnoteReference"/>
          <w:rFonts w:hAnsi="Times New Roman" w:cs="Times New Roman"/>
          <w:color w:val="auto"/>
        </w:rPr>
        <w:footnoteReference w:id="77"/>
      </w:r>
      <w:r w:rsidR="00D13537">
        <w:rPr>
          <w:rFonts w:hAnsi="Times New Roman" w:cs="Times New Roman"/>
          <w:color w:val="auto"/>
        </w:rPr>
        <w:t xml:space="preserve"> Almost two decades later, </w:t>
      </w:r>
      <w:r w:rsidR="005D6F87">
        <w:rPr>
          <w:rFonts w:hAnsi="Times New Roman" w:cs="Times New Roman"/>
          <w:color w:val="auto"/>
        </w:rPr>
        <w:t>the Act has been strengthened both in subject matter and in its criminal penalties and has expanded its reach beyond intellectual property to cognitive property.</w:t>
      </w:r>
    </w:p>
    <w:p w14:paraId="12A53A34" w14:textId="77777777" w:rsidR="007F1F19" w:rsidRDefault="007F1F19">
      <w:pPr>
        <w:ind w:left="360"/>
        <w:rPr>
          <w:rFonts w:hAnsi="Times New Roman" w:cs="Times New Roman"/>
          <w:color w:val="auto"/>
        </w:rPr>
      </w:pPr>
    </w:p>
    <w:p w14:paraId="67B68E7E" w14:textId="77777777" w:rsidR="0029008C" w:rsidRPr="00DD1543" w:rsidRDefault="0029008C">
      <w:pPr>
        <w:ind w:left="360"/>
        <w:rPr>
          <w:rFonts w:hAnsi="Times New Roman" w:cs="Times New Roman"/>
          <w:color w:val="auto"/>
        </w:rPr>
      </w:pPr>
    </w:p>
    <w:p w14:paraId="61855B0D" w14:textId="77777777" w:rsidR="007F1F19" w:rsidRPr="00C6515A" w:rsidRDefault="00C6515A" w:rsidP="00C6515A">
      <w:pPr>
        <w:pStyle w:val="Heading2"/>
        <w:numPr>
          <w:ilvl w:val="1"/>
          <w:numId w:val="9"/>
        </w:numPr>
        <w:jc w:val="both"/>
        <w:rPr>
          <w:color w:val="auto"/>
        </w:rPr>
      </w:pPr>
      <w:bookmarkStart w:id="12" w:name="_Toc399167390"/>
      <w:r w:rsidRPr="00C6515A">
        <w:rPr>
          <w:rFonts w:eastAsia="Times New Roman Bold"/>
        </w:rPr>
        <w:lastRenderedPageBreak/>
        <w:t>The Timeline: Back to the Future</w:t>
      </w:r>
      <w:bookmarkEnd w:id="12"/>
    </w:p>
    <w:p w14:paraId="5402F569" w14:textId="77777777" w:rsidR="007F1F19" w:rsidRPr="00DD1543" w:rsidRDefault="007F1F19">
      <w:pPr>
        <w:rPr>
          <w:rFonts w:hAnsi="Times New Roman" w:cs="Times New Roman"/>
          <w:color w:val="auto"/>
        </w:rPr>
      </w:pPr>
    </w:p>
    <w:p w14:paraId="108DA85F" w14:textId="77777777" w:rsidR="007F1F19" w:rsidRPr="00DD1543" w:rsidRDefault="002318AA">
      <w:pPr>
        <w:pStyle w:val="Heading3"/>
        <w:numPr>
          <w:ilvl w:val="2"/>
          <w:numId w:val="10"/>
        </w:numPr>
        <w:rPr>
          <w:color w:val="auto"/>
        </w:rPr>
      </w:pPr>
      <w:bookmarkStart w:id="13" w:name="_Toc399167391"/>
      <w:r w:rsidRPr="00DD1543">
        <w:rPr>
          <w:color w:val="auto"/>
        </w:rPr>
        <w:t>Before</w:t>
      </w:r>
      <w:r w:rsidR="00C45A03">
        <w:rPr>
          <w:color w:val="auto"/>
        </w:rPr>
        <w:t>: Pre-Innovation Assignments</w:t>
      </w:r>
      <w:bookmarkEnd w:id="13"/>
    </w:p>
    <w:p w14:paraId="2580F538" w14:textId="77777777" w:rsidR="007F1F19" w:rsidRPr="00DD1543" w:rsidRDefault="007F1F19">
      <w:pPr>
        <w:rPr>
          <w:rFonts w:hAnsi="Times New Roman" w:cs="Times New Roman"/>
          <w:color w:val="auto"/>
        </w:rPr>
      </w:pPr>
    </w:p>
    <w:p w14:paraId="5F4C1B5E" w14:textId="77777777" w:rsidR="007F1F19" w:rsidRPr="00DD1543" w:rsidRDefault="002318AA" w:rsidP="00A91775">
      <w:pPr>
        <w:ind w:firstLine="720"/>
        <w:rPr>
          <w:rFonts w:hAnsi="Times New Roman" w:cs="Times New Roman"/>
          <w:color w:val="auto"/>
        </w:rPr>
      </w:pPr>
      <w:r w:rsidRPr="00DD1543">
        <w:rPr>
          <w:rFonts w:hAnsi="Times New Roman" w:cs="Times New Roman"/>
          <w:color w:val="auto"/>
        </w:rPr>
        <w:t xml:space="preserve">Businesses increasingly seek to expand their control over the time of innovation through broad invention assignment contracts. </w:t>
      </w:r>
      <w:r w:rsidR="00A91775">
        <w:rPr>
          <w:rFonts w:hAnsi="Times New Roman" w:cs="Times New Roman"/>
          <w:color w:val="auto"/>
        </w:rPr>
        <w:t>Today</w:t>
      </w:r>
      <w:r w:rsidR="00A91775" w:rsidRPr="00DD1543">
        <w:rPr>
          <w:rFonts w:hAnsi="Times New Roman" w:cs="Times New Roman"/>
          <w:color w:val="auto"/>
        </w:rPr>
        <w:t>,</w:t>
      </w:r>
      <w:r w:rsidR="00A91775">
        <w:rPr>
          <w:rFonts w:hAnsi="Times New Roman" w:cs="Times New Roman"/>
          <w:color w:val="auto"/>
        </w:rPr>
        <w:t xml:space="preserve"> it is common for</w:t>
      </w:r>
      <w:r w:rsidR="00A91775" w:rsidRPr="00DD1543">
        <w:rPr>
          <w:rFonts w:hAnsi="Times New Roman" w:cs="Times New Roman"/>
          <w:color w:val="auto"/>
        </w:rPr>
        <w:t xml:space="preserve"> the employee-inventor </w:t>
      </w:r>
      <w:r w:rsidR="00A91775">
        <w:rPr>
          <w:rFonts w:hAnsi="Times New Roman" w:cs="Times New Roman"/>
          <w:color w:val="auto"/>
        </w:rPr>
        <w:t xml:space="preserve">to </w:t>
      </w:r>
      <w:r w:rsidR="00A91775" w:rsidRPr="00DD1543">
        <w:rPr>
          <w:rFonts w:hAnsi="Times New Roman" w:cs="Times New Roman"/>
          <w:color w:val="auto"/>
        </w:rPr>
        <w:t xml:space="preserve">agree in advance to assign her rights </w:t>
      </w:r>
      <w:r w:rsidR="00A91775">
        <w:rPr>
          <w:rFonts w:hAnsi="Times New Roman" w:cs="Times New Roman"/>
          <w:color w:val="auto"/>
        </w:rPr>
        <w:t>of</w:t>
      </w:r>
      <w:r w:rsidR="00A91775" w:rsidRPr="00DD1543">
        <w:rPr>
          <w:rFonts w:hAnsi="Times New Roman" w:cs="Times New Roman"/>
          <w:color w:val="auto"/>
        </w:rPr>
        <w:t xml:space="preserve"> any fut</w:t>
      </w:r>
      <w:r w:rsidR="00A91775">
        <w:rPr>
          <w:rFonts w:hAnsi="Times New Roman" w:cs="Times New Roman"/>
          <w:color w:val="auto"/>
        </w:rPr>
        <w:t>ure innovation to the employer.</w:t>
      </w:r>
      <w:r w:rsidRPr="003F50F9">
        <w:rPr>
          <w:rFonts w:eastAsia="Times New Roman" w:hAnsi="Times New Roman" w:cs="Times New Roman"/>
          <w:color w:val="auto"/>
          <w:vertAlign w:val="superscript"/>
        </w:rPr>
        <w:footnoteReference w:id="78"/>
      </w:r>
      <w:r w:rsidRPr="00DD1543">
        <w:rPr>
          <w:rFonts w:hAnsi="Times New Roman" w:cs="Times New Roman"/>
          <w:color w:val="auto"/>
        </w:rPr>
        <w:t xml:space="preserve"> Both the Evan Brown/Alcatel and the Bratz/Barbie disputes </w:t>
      </w:r>
      <w:r w:rsidR="0065499D">
        <w:rPr>
          <w:rFonts w:hAnsi="Times New Roman" w:cs="Times New Roman"/>
          <w:color w:val="auto"/>
        </w:rPr>
        <w:t>involve</w:t>
      </w:r>
      <w:r w:rsidR="0003080C">
        <w:rPr>
          <w:rFonts w:hAnsi="Times New Roman" w:cs="Times New Roman"/>
          <w:color w:val="auto"/>
        </w:rPr>
        <w:t>d</w:t>
      </w:r>
      <w:r w:rsidRPr="00DD1543">
        <w:rPr>
          <w:rFonts w:hAnsi="Times New Roman" w:cs="Times New Roman"/>
          <w:color w:val="auto"/>
        </w:rPr>
        <w:t xml:space="preserve"> contractual claims of ownership over innovation even before the ideas made their debut inside the </w:t>
      </w:r>
      <w:r w:rsidR="0065499D">
        <w:rPr>
          <w:rFonts w:hAnsi="Times New Roman" w:cs="Times New Roman"/>
          <w:color w:val="auto"/>
        </w:rPr>
        <w:t>innovator’s</w:t>
      </w:r>
      <w:r w:rsidRPr="00DD1543">
        <w:rPr>
          <w:rFonts w:hAnsi="Times New Roman" w:cs="Times New Roman"/>
          <w:color w:val="auto"/>
        </w:rPr>
        <w:t xml:space="preserve"> mind. </w:t>
      </w:r>
    </w:p>
    <w:p w14:paraId="05C2BD91" w14:textId="77777777" w:rsidR="007F1F19" w:rsidRPr="00DD1543" w:rsidRDefault="007F1F19">
      <w:pPr>
        <w:rPr>
          <w:rFonts w:hAnsi="Times New Roman" w:cs="Times New Roman"/>
          <w:color w:val="auto"/>
        </w:rPr>
      </w:pPr>
    </w:p>
    <w:p w14:paraId="1AEF240B" w14:textId="77777777" w:rsidR="007F1F19" w:rsidRPr="00DD1543" w:rsidRDefault="002318AA" w:rsidP="00A91775">
      <w:pPr>
        <w:ind w:firstLine="720"/>
        <w:rPr>
          <w:rFonts w:hAnsi="Times New Roman" w:cs="Times New Roman"/>
          <w:color w:val="auto"/>
        </w:rPr>
      </w:pPr>
      <w:r w:rsidRPr="00DD1543">
        <w:rPr>
          <w:rFonts w:hAnsi="Times New Roman" w:cs="Times New Roman"/>
          <w:color w:val="auto"/>
        </w:rPr>
        <w:t xml:space="preserve">If one looks only at intellectual property law on the books, innovation rights are granted to authors and inventors. </w:t>
      </w:r>
      <w:r w:rsidR="0065499D" w:rsidRPr="00DD1543">
        <w:rPr>
          <w:rFonts w:hAnsi="Times New Roman" w:cs="Times New Roman"/>
          <w:color w:val="auto"/>
        </w:rPr>
        <w:t xml:space="preserve">The </w:t>
      </w:r>
      <w:r w:rsidR="0065499D">
        <w:rPr>
          <w:rFonts w:hAnsi="Times New Roman" w:cs="Times New Roman"/>
          <w:color w:val="auto"/>
        </w:rPr>
        <w:t xml:space="preserve">U.S. </w:t>
      </w:r>
      <w:r w:rsidR="0065499D" w:rsidRPr="00DD1543">
        <w:rPr>
          <w:rFonts w:hAnsi="Times New Roman" w:cs="Times New Roman"/>
          <w:color w:val="auto"/>
        </w:rPr>
        <w:t xml:space="preserve">Constitution names “authors and inventors” as the beneficiaries of intellectual property rights. </w:t>
      </w:r>
      <w:r w:rsidR="00F949B9" w:rsidRPr="00DD1543">
        <w:rPr>
          <w:rFonts w:hAnsi="Times New Roman" w:cs="Times New Roman"/>
          <w:color w:val="auto"/>
        </w:rPr>
        <w:t>Both patent law and copyright law establish</w:t>
      </w:r>
      <w:r w:rsidR="00D44F0D">
        <w:rPr>
          <w:rFonts w:hAnsi="Times New Roman" w:cs="Times New Roman"/>
          <w:color w:val="auto"/>
        </w:rPr>
        <w:t>,</w:t>
      </w:r>
      <w:r w:rsidR="00F949B9" w:rsidRPr="00DD1543">
        <w:rPr>
          <w:rFonts w:hAnsi="Times New Roman" w:cs="Times New Roman"/>
          <w:color w:val="auto"/>
        </w:rPr>
        <w:t xml:space="preserve"> in reasonably clear terms, that ownership, as a default, is vested to the author of an invention or creative expression. </w:t>
      </w:r>
      <w:r w:rsidRPr="00DD1543">
        <w:rPr>
          <w:rFonts w:hAnsi="Times New Roman" w:cs="Times New Roman"/>
          <w:color w:val="auto"/>
        </w:rPr>
        <w:t xml:space="preserve">The </w:t>
      </w:r>
      <w:r w:rsidR="0065499D">
        <w:rPr>
          <w:rFonts w:hAnsi="Times New Roman" w:cs="Times New Roman"/>
          <w:color w:val="auto"/>
        </w:rPr>
        <w:t xml:space="preserve">Supreme </w:t>
      </w:r>
      <w:r w:rsidRPr="00DD1543">
        <w:rPr>
          <w:rFonts w:hAnsi="Times New Roman" w:cs="Times New Roman"/>
          <w:color w:val="auto"/>
        </w:rPr>
        <w:t>Court has repeatedly explained that intellectual property is affixed to the belief that the “encouragement of individual effort by personal gain is the best way to advance public welfare through the talents of authors and inventors.”</w:t>
      </w:r>
      <w:r w:rsidRPr="00DD1543">
        <w:rPr>
          <w:rFonts w:eastAsia="Times New Roman" w:hAnsi="Times New Roman" w:cs="Times New Roman"/>
          <w:color w:val="auto"/>
          <w:vertAlign w:val="superscript"/>
        </w:rPr>
        <w:footnoteReference w:id="79"/>
      </w:r>
      <w:r w:rsidR="00A91775">
        <w:rPr>
          <w:rFonts w:hAnsi="Times New Roman" w:cs="Times New Roman"/>
          <w:color w:val="auto"/>
        </w:rPr>
        <w:t xml:space="preserve"> </w:t>
      </w:r>
      <w:r w:rsidRPr="00DD1543">
        <w:rPr>
          <w:rFonts w:hAnsi="Times New Roman" w:cs="Times New Roman"/>
          <w:color w:val="auto"/>
        </w:rPr>
        <w:t xml:space="preserve">The exception that swallows the rule is at the nexus of IP, employment, and contract law. </w:t>
      </w:r>
      <w:r w:rsidR="00F949B9" w:rsidRPr="00DD1543">
        <w:rPr>
          <w:rFonts w:hAnsi="Times New Roman" w:cs="Times New Roman"/>
          <w:color w:val="auto"/>
        </w:rPr>
        <w:t xml:space="preserve">Corporations cannot author a patent, but they can nonetheless become patent owners. </w:t>
      </w:r>
      <w:r w:rsidR="00F949B9">
        <w:rPr>
          <w:rFonts w:hAnsi="Times New Roman" w:cs="Times New Roman"/>
          <w:color w:val="auto"/>
        </w:rPr>
        <w:t>Similarly, corporations do not write poems or paint</w:t>
      </w:r>
      <w:r w:rsidR="00221A1A">
        <w:rPr>
          <w:rFonts w:hAnsi="Times New Roman" w:cs="Times New Roman"/>
          <w:color w:val="auto"/>
        </w:rPr>
        <w:t>,</w:t>
      </w:r>
      <w:r w:rsidR="00F949B9">
        <w:rPr>
          <w:rFonts w:hAnsi="Times New Roman" w:cs="Times New Roman"/>
          <w:color w:val="auto"/>
        </w:rPr>
        <w:t xml:space="preserve"> but they can certainly become copyright owner</w:t>
      </w:r>
      <w:r w:rsidR="00221A1A">
        <w:rPr>
          <w:rFonts w:hAnsi="Times New Roman" w:cs="Times New Roman"/>
          <w:color w:val="auto"/>
        </w:rPr>
        <w:t>s</w:t>
      </w:r>
      <w:r w:rsidR="00F949B9">
        <w:rPr>
          <w:rFonts w:hAnsi="Times New Roman" w:cs="Times New Roman"/>
          <w:color w:val="auto"/>
        </w:rPr>
        <w:t xml:space="preserve">. </w:t>
      </w:r>
      <w:r w:rsidRPr="00DD1543">
        <w:rPr>
          <w:rFonts w:hAnsi="Times New Roman" w:cs="Times New Roman"/>
          <w:color w:val="auto"/>
        </w:rPr>
        <w:t xml:space="preserve">In developing </w:t>
      </w:r>
      <w:r w:rsidR="00F949B9">
        <w:rPr>
          <w:rFonts w:hAnsi="Times New Roman" w:cs="Times New Roman"/>
          <w:color w:val="auto"/>
        </w:rPr>
        <w:t>the common law of patent ownership</w:t>
      </w:r>
      <w:r w:rsidRPr="00DD1543">
        <w:rPr>
          <w:rFonts w:hAnsi="Times New Roman" w:cs="Times New Roman"/>
          <w:color w:val="auto"/>
        </w:rPr>
        <w:t xml:space="preserve">, courts </w:t>
      </w:r>
      <w:r w:rsidR="00F949B9">
        <w:rPr>
          <w:rFonts w:hAnsi="Times New Roman" w:cs="Times New Roman"/>
          <w:color w:val="auto"/>
        </w:rPr>
        <w:t>adopted</w:t>
      </w:r>
      <w:r w:rsidRPr="00DD1543">
        <w:rPr>
          <w:rFonts w:hAnsi="Times New Roman" w:cs="Times New Roman"/>
          <w:color w:val="auto"/>
        </w:rPr>
        <w:t xml:space="preserve"> the hired-to-invent doctrine</w:t>
      </w:r>
      <w:r w:rsidR="00F949B9">
        <w:rPr>
          <w:rFonts w:hAnsi="Times New Roman" w:cs="Times New Roman"/>
          <w:color w:val="auto"/>
        </w:rPr>
        <w:t>, under which i</w:t>
      </w:r>
      <w:r w:rsidRPr="00DD1543">
        <w:rPr>
          <w:rFonts w:hAnsi="Times New Roman" w:cs="Times New Roman"/>
          <w:color w:val="auto"/>
        </w:rPr>
        <w:t xml:space="preserve">nventions </w:t>
      </w:r>
      <w:r w:rsidR="00CB103E">
        <w:rPr>
          <w:rFonts w:hAnsi="Times New Roman" w:cs="Times New Roman"/>
          <w:color w:val="auto"/>
        </w:rPr>
        <w:t>created</w:t>
      </w:r>
      <w:r w:rsidRPr="00DD1543">
        <w:rPr>
          <w:rFonts w:hAnsi="Times New Roman" w:cs="Times New Roman"/>
          <w:color w:val="auto"/>
        </w:rPr>
        <w:t xml:space="preserve"> as </w:t>
      </w:r>
      <w:r w:rsidR="00221A1A">
        <w:rPr>
          <w:rFonts w:hAnsi="Times New Roman" w:cs="Times New Roman"/>
          <w:color w:val="auto"/>
        </w:rPr>
        <w:t xml:space="preserve">part of </w:t>
      </w:r>
      <w:r w:rsidRPr="00DD1543">
        <w:rPr>
          <w:rFonts w:hAnsi="Times New Roman" w:cs="Times New Roman"/>
          <w:color w:val="auto"/>
        </w:rPr>
        <w:t xml:space="preserve">the job for which </w:t>
      </w:r>
      <w:r w:rsidR="00F949B9">
        <w:rPr>
          <w:rFonts w:hAnsi="Times New Roman" w:cs="Times New Roman"/>
          <w:color w:val="auto"/>
        </w:rPr>
        <w:t>an employee was hired</w:t>
      </w:r>
      <w:r w:rsidRPr="00DD1543">
        <w:rPr>
          <w:rFonts w:hAnsi="Times New Roman" w:cs="Times New Roman"/>
          <w:color w:val="auto"/>
        </w:rPr>
        <w:t xml:space="preserve"> belong to the employer.</w:t>
      </w:r>
      <w:r w:rsidR="00F949B9" w:rsidRPr="00DD1543">
        <w:rPr>
          <w:rFonts w:hAnsi="Times New Roman" w:cs="Times New Roman"/>
          <w:color w:val="auto"/>
          <w:vertAlign w:val="superscript"/>
        </w:rPr>
        <w:footnoteReference w:id="80"/>
      </w:r>
      <w:r w:rsidR="00F949B9">
        <w:rPr>
          <w:rFonts w:hAnsi="Times New Roman" w:cs="Times New Roman"/>
          <w:color w:val="auto"/>
        </w:rPr>
        <w:t xml:space="preserve"> </w:t>
      </w:r>
      <w:r w:rsidR="00B8293B">
        <w:rPr>
          <w:rFonts w:hAnsi="Times New Roman" w:cs="Times New Roman"/>
          <w:color w:val="auto"/>
        </w:rPr>
        <w:t>In</w:t>
      </w:r>
      <w:r w:rsidRPr="00DD1543">
        <w:rPr>
          <w:rFonts w:hAnsi="Times New Roman" w:cs="Times New Roman"/>
          <w:color w:val="auto"/>
        </w:rPr>
        <w:t xml:space="preserve"> copyright</w:t>
      </w:r>
      <w:r w:rsidR="00F949B9">
        <w:rPr>
          <w:rFonts w:hAnsi="Times New Roman" w:cs="Times New Roman"/>
          <w:color w:val="auto"/>
        </w:rPr>
        <w:t xml:space="preserve"> law</w:t>
      </w:r>
      <w:r w:rsidRPr="00DD1543">
        <w:rPr>
          <w:rFonts w:hAnsi="Times New Roman" w:cs="Times New Roman"/>
          <w:color w:val="auto"/>
        </w:rPr>
        <w:t>, the work-for-hire doctrine was codified in</w:t>
      </w:r>
      <w:r w:rsidR="00B8293B">
        <w:rPr>
          <w:rFonts w:hAnsi="Times New Roman" w:cs="Times New Roman"/>
          <w:color w:val="auto"/>
        </w:rPr>
        <w:t>to</w:t>
      </w:r>
      <w:r w:rsidRPr="00DD1543">
        <w:rPr>
          <w:rFonts w:hAnsi="Times New Roman" w:cs="Times New Roman"/>
          <w:color w:val="auto"/>
        </w:rPr>
        <w:t xml:space="preserve"> the Copyright Act, shifting the definition of “authorship,” in the context of employment</w:t>
      </w:r>
      <w:r w:rsidR="00D44F0D">
        <w:rPr>
          <w:rFonts w:hAnsi="Times New Roman" w:cs="Times New Roman"/>
          <w:color w:val="auto"/>
        </w:rPr>
        <w:t>,</w:t>
      </w:r>
      <w:r w:rsidRPr="00DD1543">
        <w:rPr>
          <w:rFonts w:hAnsi="Times New Roman" w:cs="Times New Roman"/>
          <w:color w:val="auto"/>
        </w:rPr>
        <w:t xml:space="preserve"> from</w:t>
      </w:r>
      <w:r w:rsidR="00A91775">
        <w:rPr>
          <w:rFonts w:hAnsi="Times New Roman" w:cs="Times New Roman"/>
          <w:color w:val="auto"/>
        </w:rPr>
        <w:t xml:space="preserve"> the</w:t>
      </w:r>
      <w:r w:rsidRPr="00DD1543">
        <w:rPr>
          <w:rFonts w:hAnsi="Times New Roman" w:cs="Times New Roman"/>
          <w:color w:val="auto"/>
        </w:rPr>
        <w:t xml:space="preserve"> employee to the employer that commission</w:t>
      </w:r>
      <w:r w:rsidR="00D44F0D">
        <w:rPr>
          <w:rFonts w:hAnsi="Times New Roman" w:cs="Times New Roman"/>
          <w:color w:val="auto"/>
        </w:rPr>
        <w:t>s</w:t>
      </w:r>
      <w:r w:rsidRPr="00DD1543">
        <w:rPr>
          <w:rFonts w:hAnsi="Times New Roman" w:cs="Times New Roman"/>
          <w:color w:val="auto"/>
        </w:rPr>
        <w:t xml:space="preserve"> the work.</w:t>
      </w:r>
      <w:r w:rsidRPr="00DD1543">
        <w:rPr>
          <w:rFonts w:hAnsi="Times New Roman" w:cs="Times New Roman"/>
          <w:color w:val="auto"/>
          <w:vertAlign w:val="superscript"/>
        </w:rPr>
        <w:footnoteReference w:id="81"/>
      </w:r>
      <w:r w:rsidR="005F3769">
        <w:rPr>
          <w:rFonts w:hAnsi="Times New Roman" w:cs="Times New Roman"/>
          <w:color w:val="auto"/>
        </w:rPr>
        <w:t xml:space="preserve"> </w:t>
      </w:r>
      <w:r w:rsidR="006329E6">
        <w:rPr>
          <w:rFonts w:hAnsi="Times New Roman" w:cs="Times New Roman"/>
          <w:color w:val="auto"/>
        </w:rPr>
        <w:t>These</w:t>
      </w:r>
      <w:r w:rsidRPr="00DD1543">
        <w:rPr>
          <w:rFonts w:hAnsi="Times New Roman" w:cs="Times New Roman"/>
          <w:color w:val="auto"/>
        </w:rPr>
        <w:t xml:space="preserve"> doctrines </w:t>
      </w:r>
      <w:r w:rsidR="00B8293B">
        <w:rPr>
          <w:rFonts w:hAnsi="Times New Roman" w:cs="Times New Roman"/>
          <w:color w:val="auto"/>
        </w:rPr>
        <w:t xml:space="preserve">in both patent law and copyright </w:t>
      </w:r>
      <w:r w:rsidR="00B8293B">
        <w:rPr>
          <w:rFonts w:hAnsi="Times New Roman" w:cs="Times New Roman"/>
          <w:color w:val="auto"/>
        </w:rPr>
        <w:lastRenderedPageBreak/>
        <w:t xml:space="preserve">law </w:t>
      </w:r>
      <w:r w:rsidRPr="00DD1543">
        <w:rPr>
          <w:rFonts w:hAnsi="Times New Roman" w:cs="Times New Roman"/>
          <w:color w:val="auto"/>
        </w:rPr>
        <w:t xml:space="preserve">leave </w:t>
      </w:r>
      <w:r w:rsidR="00B8293B">
        <w:rPr>
          <w:rFonts w:hAnsi="Times New Roman" w:cs="Times New Roman"/>
          <w:color w:val="auto"/>
        </w:rPr>
        <w:t xml:space="preserve">the default </w:t>
      </w:r>
      <w:r w:rsidRPr="00DD1543">
        <w:rPr>
          <w:rFonts w:hAnsi="Times New Roman" w:cs="Times New Roman"/>
          <w:color w:val="auto"/>
        </w:rPr>
        <w:t xml:space="preserve">ownership with the employee for any innovation that has not been commissioned as part of the job. </w:t>
      </w:r>
    </w:p>
    <w:p w14:paraId="63466E98" w14:textId="77777777" w:rsidR="007F1F19" w:rsidRPr="00DD1543" w:rsidRDefault="007F1F19">
      <w:pPr>
        <w:rPr>
          <w:rFonts w:hAnsi="Times New Roman" w:cs="Times New Roman"/>
          <w:color w:val="auto"/>
        </w:rPr>
      </w:pPr>
    </w:p>
    <w:p w14:paraId="200DAAB1" w14:textId="77777777" w:rsidR="00CC7076" w:rsidRDefault="004B4F40" w:rsidP="00CC707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The real devil is in contract law. Even though the legal default</w:t>
      </w:r>
      <w:r w:rsidR="00B8293B">
        <w:rPr>
          <w:rFonts w:hAnsi="Times New Roman" w:cs="Times New Roman"/>
          <w:color w:val="auto"/>
        </w:rPr>
        <w:t>s</w:t>
      </w:r>
      <w:r w:rsidR="002318AA" w:rsidRPr="00DD1543">
        <w:rPr>
          <w:rFonts w:hAnsi="Times New Roman" w:cs="Times New Roman"/>
          <w:color w:val="auto"/>
        </w:rPr>
        <w:t xml:space="preserve"> in </w:t>
      </w:r>
      <w:r w:rsidR="00A91775">
        <w:rPr>
          <w:rFonts w:hAnsi="Times New Roman" w:cs="Times New Roman"/>
          <w:color w:val="auto"/>
        </w:rPr>
        <w:t>IP</w:t>
      </w:r>
      <w:r w:rsidR="00B8293B">
        <w:rPr>
          <w:rFonts w:hAnsi="Times New Roman" w:cs="Times New Roman"/>
          <w:color w:val="auto"/>
        </w:rPr>
        <w:t xml:space="preserve"> law leave</w:t>
      </w:r>
      <w:r w:rsidR="002318AA" w:rsidRPr="00DD1543">
        <w:rPr>
          <w:rFonts w:hAnsi="Times New Roman" w:cs="Times New Roman"/>
          <w:color w:val="auto"/>
        </w:rPr>
        <w:t xml:space="preserve"> most </w:t>
      </w:r>
      <w:r w:rsidR="00B8293B">
        <w:rPr>
          <w:rFonts w:hAnsi="Times New Roman" w:cs="Times New Roman"/>
          <w:color w:val="auto"/>
        </w:rPr>
        <w:t>innovation as</w:t>
      </w:r>
      <w:r w:rsidR="002318AA" w:rsidRPr="00DD1543">
        <w:rPr>
          <w:rFonts w:hAnsi="Times New Roman" w:cs="Times New Roman"/>
          <w:color w:val="auto"/>
        </w:rPr>
        <w:t xml:space="preserve"> employee-owned – only </w:t>
      </w:r>
      <w:r w:rsidR="00B8293B">
        <w:rPr>
          <w:rFonts w:hAnsi="Times New Roman" w:cs="Times New Roman"/>
          <w:color w:val="auto"/>
        </w:rPr>
        <w:t xml:space="preserve">patentable </w:t>
      </w:r>
      <w:r w:rsidR="002318AA" w:rsidRPr="00DD1543">
        <w:rPr>
          <w:rFonts w:hAnsi="Times New Roman" w:cs="Times New Roman"/>
          <w:color w:val="auto"/>
        </w:rPr>
        <w:t>inventions</w:t>
      </w:r>
      <w:r w:rsidR="00B8293B">
        <w:rPr>
          <w:rFonts w:hAnsi="Times New Roman" w:cs="Times New Roman"/>
          <w:color w:val="auto"/>
        </w:rPr>
        <w:t xml:space="preserve"> and copyrightable works</w:t>
      </w:r>
      <w:r w:rsidR="002318AA" w:rsidRPr="00DD1543">
        <w:rPr>
          <w:rFonts w:hAnsi="Times New Roman" w:cs="Times New Roman"/>
          <w:color w:val="auto"/>
        </w:rPr>
        <w:t xml:space="preserve"> that were the purpose of the employee’s work </w:t>
      </w:r>
      <w:r w:rsidR="00B8293B">
        <w:rPr>
          <w:rFonts w:hAnsi="Times New Roman" w:cs="Times New Roman"/>
          <w:color w:val="auto"/>
        </w:rPr>
        <w:t>are</w:t>
      </w:r>
      <w:r w:rsidR="002318AA" w:rsidRPr="00DD1543">
        <w:rPr>
          <w:rFonts w:hAnsi="Times New Roman" w:cs="Times New Roman"/>
          <w:color w:val="auto"/>
        </w:rPr>
        <w:t xml:space="preserve"> employer-owned – </w:t>
      </w:r>
      <w:r w:rsidR="00CD5A9B">
        <w:rPr>
          <w:rFonts w:hAnsi="Times New Roman" w:cs="Times New Roman"/>
          <w:color w:val="auto"/>
        </w:rPr>
        <w:t xml:space="preserve">a default is just that: </w:t>
      </w:r>
      <w:r w:rsidR="00532DDB">
        <w:rPr>
          <w:rFonts w:hAnsi="Times New Roman" w:cs="Times New Roman"/>
          <w:color w:val="auto"/>
        </w:rPr>
        <w:t xml:space="preserve">the </w:t>
      </w:r>
      <w:r w:rsidR="00964BEB">
        <w:rPr>
          <w:rFonts w:hAnsi="Times New Roman" w:cs="Times New Roman"/>
          <w:color w:val="auto"/>
        </w:rPr>
        <w:t xml:space="preserve">default </w:t>
      </w:r>
      <w:r w:rsidR="00532DDB">
        <w:rPr>
          <w:rFonts w:hAnsi="Times New Roman" w:cs="Times New Roman"/>
          <w:color w:val="auto"/>
        </w:rPr>
        <w:t xml:space="preserve">rule </w:t>
      </w:r>
      <w:r w:rsidR="00964BEB">
        <w:rPr>
          <w:rFonts w:hAnsi="Times New Roman" w:cs="Times New Roman"/>
          <w:color w:val="auto"/>
        </w:rPr>
        <w:t>can be reversed by contract</w:t>
      </w:r>
      <w:r w:rsidR="002318AA" w:rsidRPr="00DD1543">
        <w:rPr>
          <w:rFonts w:hAnsi="Times New Roman" w:cs="Times New Roman"/>
          <w:color w:val="auto"/>
        </w:rPr>
        <w:t>. In</w:t>
      </w:r>
      <w:r w:rsidR="00B8293B">
        <w:rPr>
          <w:rFonts w:hAnsi="Times New Roman" w:cs="Times New Roman"/>
          <w:color w:val="auto"/>
        </w:rPr>
        <w:t xml:space="preserve"> the</w:t>
      </w:r>
      <w:r w:rsidR="005F3769">
        <w:rPr>
          <w:rFonts w:hAnsi="Times New Roman" w:cs="Times New Roman"/>
          <w:color w:val="auto"/>
        </w:rPr>
        <w:t xml:space="preserve"> </w:t>
      </w:r>
      <w:r w:rsidR="00B8293B">
        <w:rPr>
          <w:rFonts w:hAnsi="Times New Roman" w:cs="Times New Roman"/>
          <w:color w:val="auto"/>
        </w:rPr>
        <w:t>contemporary economy</w:t>
      </w:r>
      <w:r w:rsidR="002318AA" w:rsidRPr="00DD1543">
        <w:rPr>
          <w:rFonts w:hAnsi="Times New Roman" w:cs="Times New Roman"/>
          <w:color w:val="auto"/>
        </w:rPr>
        <w:t xml:space="preserve">, businesses routinely require pre-innovation assignment contracts </w:t>
      </w:r>
      <w:r w:rsidR="00B8293B">
        <w:rPr>
          <w:rFonts w:hAnsi="Times New Roman" w:cs="Times New Roman"/>
          <w:color w:val="auto"/>
        </w:rPr>
        <w:t xml:space="preserve">in which </w:t>
      </w:r>
      <w:r w:rsidR="002318AA" w:rsidRPr="00DD1543">
        <w:rPr>
          <w:rFonts w:hAnsi="Times New Roman" w:cs="Times New Roman"/>
          <w:color w:val="auto"/>
        </w:rPr>
        <w:t xml:space="preserve">employees cede all rights to future inventions. </w:t>
      </w:r>
      <w:r w:rsidR="00B8293B">
        <w:rPr>
          <w:rFonts w:hAnsi="Times New Roman" w:cs="Times New Roman"/>
          <w:color w:val="auto"/>
        </w:rPr>
        <w:t>Many c</w:t>
      </w:r>
      <w:r w:rsidR="002318AA" w:rsidRPr="00DD1543">
        <w:rPr>
          <w:rFonts w:hAnsi="Times New Roman" w:cs="Times New Roman"/>
          <w:color w:val="auto"/>
        </w:rPr>
        <w:t>ompanies</w:t>
      </w:r>
      <w:r w:rsidR="005F3769">
        <w:rPr>
          <w:rFonts w:hAnsi="Times New Roman" w:cs="Times New Roman"/>
          <w:color w:val="auto"/>
        </w:rPr>
        <w:t>, upon hiring,</w:t>
      </w:r>
      <w:r w:rsidR="002318AA" w:rsidRPr="00DD1543">
        <w:rPr>
          <w:rFonts w:hAnsi="Times New Roman" w:cs="Times New Roman"/>
          <w:color w:val="auto"/>
        </w:rPr>
        <w:t xml:space="preserve"> demand </w:t>
      </w:r>
      <w:r w:rsidR="00B8293B">
        <w:rPr>
          <w:rFonts w:hAnsi="Times New Roman" w:cs="Times New Roman"/>
          <w:color w:val="auto"/>
        </w:rPr>
        <w:t xml:space="preserve">the signing of such innovation clauses of </w:t>
      </w:r>
      <w:r w:rsidR="002318AA" w:rsidRPr="00DD1543">
        <w:rPr>
          <w:rFonts w:hAnsi="Times New Roman" w:cs="Times New Roman"/>
          <w:color w:val="auto"/>
        </w:rPr>
        <w:t>all employees, from the low-level manufacturing employees to design engineers and creative workers</w:t>
      </w:r>
      <w:r w:rsidR="005F3769">
        <w:rPr>
          <w:rFonts w:hAnsi="Times New Roman" w:cs="Times New Roman"/>
          <w:color w:val="auto"/>
        </w:rPr>
        <w:t>.</w:t>
      </w:r>
      <w:r w:rsidR="002318AA" w:rsidRPr="00DD1543">
        <w:rPr>
          <w:rFonts w:eastAsia="Times New Roman" w:hAnsi="Times New Roman" w:cs="Times New Roman"/>
          <w:color w:val="auto"/>
          <w:vertAlign w:val="superscript"/>
        </w:rPr>
        <w:footnoteReference w:id="82"/>
      </w:r>
      <w:r w:rsidR="005F3769">
        <w:rPr>
          <w:rFonts w:hAnsi="Times New Roman" w:cs="Times New Roman"/>
          <w:color w:val="auto"/>
        </w:rPr>
        <w:t xml:space="preserve"> </w:t>
      </w:r>
      <w:r w:rsidR="00B8293B">
        <w:rPr>
          <w:rFonts w:hAnsi="Times New Roman" w:cs="Times New Roman"/>
          <w:color w:val="auto"/>
        </w:rPr>
        <w:t>Most often, for a comprehensive pre-innovation</w:t>
      </w:r>
      <w:r w:rsidR="002318AA" w:rsidRPr="00DD1543">
        <w:rPr>
          <w:rFonts w:hAnsi="Times New Roman" w:cs="Times New Roman"/>
          <w:color w:val="auto"/>
        </w:rPr>
        <w:t xml:space="preserve"> assignment of a</w:t>
      </w:r>
      <w:r w:rsidR="00B8293B">
        <w:rPr>
          <w:rFonts w:hAnsi="Times New Roman" w:cs="Times New Roman"/>
          <w:color w:val="auto"/>
        </w:rPr>
        <w:t>ll creative and inventive prospects, employees</w:t>
      </w:r>
      <w:r w:rsidR="005F3769">
        <w:rPr>
          <w:rFonts w:hAnsi="Times New Roman" w:cs="Times New Roman"/>
          <w:color w:val="auto"/>
        </w:rPr>
        <w:t xml:space="preserve"> </w:t>
      </w:r>
      <w:r w:rsidR="002318AA" w:rsidRPr="00DD1543">
        <w:rPr>
          <w:rFonts w:hAnsi="Times New Roman" w:cs="Times New Roman"/>
          <w:color w:val="auto"/>
        </w:rPr>
        <w:t>receive</w:t>
      </w:r>
      <w:r w:rsidR="00AB1113">
        <w:rPr>
          <w:rFonts w:hAnsi="Times New Roman" w:cs="Times New Roman"/>
          <w:color w:val="auto"/>
        </w:rPr>
        <w:t xml:space="preserve"> no </w:t>
      </w:r>
      <w:r w:rsidR="00423BE9">
        <w:rPr>
          <w:rFonts w:hAnsi="Times New Roman" w:cs="Times New Roman"/>
          <w:color w:val="auto"/>
        </w:rPr>
        <w:t>other</w:t>
      </w:r>
      <w:r w:rsidR="0033126B" w:rsidRPr="00DD1543">
        <w:rPr>
          <w:rFonts w:hAnsi="Times New Roman" w:cs="Times New Roman"/>
          <w:color w:val="auto"/>
        </w:rPr>
        <w:t xml:space="preserve"> </w:t>
      </w:r>
      <w:r w:rsidR="002318AA" w:rsidRPr="00DD1543">
        <w:rPr>
          <w:rFonts w:hAnsi="Times New Roman" w:cs="Times New Roman"/>
          <w:color w:val="auto"/>
        </w:rPr>
        <w:t xml:space="preserve">remuneration </w:t>
      </w:r>
      <w:r w:rsidR="0033126B">
        <w:rPr>
          <w:rFonts w:hAnsi="Times New Roman" w:cs="Times New Roman"/>
          <w:color w:val="auto"/>
        </w:rPr>
        <w:t xml:space="preserve">outside of </w:t>
      </w:r>
      <w:r w:rsidR="00AB1113">
        <w:rPr>
          <w:rFonts w:hAnsi="Times New Roman" w:cs="Times New Roman"/>
          <w:color w:val="auto"/>
        </w:rPr>
        <w:t>their</w:t>
      </w:r>
      <w:r w:rsidR="005F3769">
        <w:rPr>
          <w:rFonts w:hAnsi="Times New Roman" w:cs="Times New Roman"/>
          <w:color w:val="auto"/>
        </w:rPr>
        <w:t xml:space="preserve"> </w:t>
      </w:r>
      <w:r w:rsidR="00AB1113">
        <w:rPr>
          <w:rFonts w:hAnsi="Times New Roman" w:cs="Times New Roman"/>
          <w:color w:val="auto"/>
        </w:rPr>
        <w:t>monthly</w:t>
      </w:r>
      <w:r w:rsidR="002318AA" w:rsidRPr="00DD1543">
        <w:rPr>
          <w:rFonts w:hAnsi="Times New Roman" w:cs="Times New Roman"/>
          <w:color w:val="auto"/>
        </w:rPr>
        <w:t xml:space="preserve"> salary.</w:t>
      </w:r>
      <w:r w:rsidR="002318AA" w:rsidRPr="00DD1543">
        <w:rPr>
          <w:rFonts w:eastAsia="Times New Roman" w:hAnsi="Times New Roman" w:cs="Times New Roman"/>
          <w:color w:val="auto"/>
          <w:vertAlign w:val="superscript"/>
        </w:rPr>
        <w:footnoteReference w:id="83"/>
      </w:r>
    </w:p>
    <w:p w14:paraId="475A0A3D" w14:textId="77777777" w:rsidR="00F44564" w:rsidRPr="00D004F8" w:rsidRDefault="00841D51" w:rsidP="000B68EB">
      <w:pPr>
        <w:pStyle w:val="NormalWeb"/>
        <w:shd w:val="clear" w:color="auto" w:fill="FFFFFF"/>
        <w:spacing w:before="240" w:after="240"/>
        <w:jc w:val="both"/>
        <w:rPr>
          <w:rFonts w:hAnsi="Times New Roman" w:cs="Times New Roman"/>
        </w:rPr>
      </w:pPr>
      <w:r>
        <w:rPr>
          <w:rFonts w:hAnsi="Times New Roman" w:cs="Times New Roman"/>
          <w:color w:val="auto"/>
        </w:rPr>
        <w:tab/>
      </w:r>
      <w:r w:rsidR="002318AA" w:rsidRPr="00D004F8">
        <w:rPr>
          <w:rFonts w:hAnsi="Times New Roman" w:cs="Times New Roman"/>
          <w:color w:val="auto"/>
        </w:rPr>
        <w:t>At times, future</w:t>
      </w:r>
      <w:r w:rsidR="007A1814">
        <w:rPr>
          <w:rFonts w:hAnsi="Times New Roman" w:cs="Times New Roman"/>
          <w:color w:val="auto"/>
        </w:rPr>
        <w:t>-</w:t>
      </w:r>
      <w:r w:rsidR="00B8293B" w:rsidRPr="00D004F8">
        <w:rPr>
          <w:rFonts w:hAnsi="Times New Roman" w:cs="Times New Roman"/>
          <w:color w:val="auto"/>
        </w:rPr>
        <w:t>looking</w:t>
      </w:r>
      <w:r w:rsidR="005F3769">
        <w:rPr>
          <w:rFonts w:hAnsi="Times New Roman" w:cs="Times New Roman"/>
          <w:color w:val="auto"/>
        </w:rPr>
        <w:t xml:space="preserve"> </w:t>
      </w:r>
      <w:r w:rsidR="00B8293B" w:rsidRPr="00D004F8">
        <w:rPr>
          <w:rFonts w:hAnsi="Times New Roman" w:cs="Times New Roman"/>
          <w:color w:val="auto"/>
        </w:rPr>
        <w:t>pre-</w:t>
      </w:r>
      <w:r w:rsidR="002318AA" w:rsidRPr="00D004F8">
        <w:rPr>
          <w:rFonts w:hAnsi="Times New Roman" w:cs="Times New Roman"/>
          <w:color w:val="auto"/>
        </w:rPr>
        <w:t>innovation assignment agreements reach back to an employee’s past. Evan Brown began translating computer programs from one system to another while he was an undergraduate student at Texas A&amp;M</w:t>
      </w:r>
      <w:r w:rsidR="006A6E5F" w:rsidRPr="00D004F8">
        <w:rPr>
          <w:rFonts w:hAnsi="Times New Roman" w:cs="Times New Roman"/>
          <w:color w:val="auto"/>
        </w:rPr>
        <w:t xml:space="preserve"> University</w:t>
      </w:r>
      <w:r w:rsidR="002318AA" w:rsidRPr="00D004F8">
        <w:rPr>
          <w:rFonts w:hAnsi="Times New Roman" w:cs="Times New Roman"/>
          <w:color w:val="auto"/>
        </w:rPr>
        <w:t xml:space="preserve">, almost two decades before starting to work at </w:t>
      </w:r>
      <w:r w:rsidR="000B68EB">
        <w:rPr>
          <w:rFonts w:hAnsi="Times New Roman" w:cs="Times New Roman"/>
          <w:color w:val="auto"/>
        </w:rPr>
        <w:t>Alcatel.</w:t>
      </w:r>
      <w:r w:rsidR="002318AA" w:rsidRPr="00D004F8">
        <w:rPr>
          <w:rFonts w:hAnsi="Times New Roman" w:cs="Times New Roman"/>
          <w:color w:val="auto"/>
        </w:rPr>
        <w:t xml:space="preserve"> Brown claimed to have conceived </w:t>
      </w:r>
      <w:r w:rsidR="00AB1113" w:rsidRPr="00D004F8">
        <w:rPr>
          <w:rFonts w:hAnsi="Times New Roman" w:cs="Times New Roman"/>
          <w:color w:val="auto"/>
        </w:rPr>
        <w:t xml:space="preserve">of </w:t>
      </w:r>
      <w:r w:rsidR="002318AA" w:rsidRPr="00D004F8">
        <w:rPr>
          <w:rFonts w:hAnsi="Times New Roman" w:cs="Times New Roman"/>
          <w:color w:val="auto"/>
        </w:rPr>
        <w:t xml:space="preserve">the basic idea for the conversion algorithm almost ten years earlier. During those early years, Brown wrote computer conversion programs for several different companies and began the creative process of thinking about his solution. </w:t>
      </w:r>
      <w:r w:rsidR="00092D86">
        <w:rPr>
          <w:rFonts w:hAnsi="Times New Roman" w:cs="Times New Roman"/>
          <w:color w:val="auto"/>
        </w:rPr>
        <w:t xml:space="preserve">Similarly, </w:t>
      </w:r>
      <w:r w:rsidR="007A1814">
        <w:rPr>
          <w:rFonts w:hAnsi="Times New Roman" w:cs="Times New Roman"/>
          <w:color w:val="auto"/>
        </w:rPr>
        <w:t xml:space="preserve">Carter Bryant created designs of angelic looking fantasy girls </w:t>
      </w:r>
      <w:r w:rsidR="007A1814">
        <w:rPr>
          <w:rFonts w:hAnsi="Times New Roman" w:cs="Times New Roman"/>
          <w:color w:val="auto"/>
        </w:rPr>
        <w:lastRenderedPageBreak/>
        <w:t xml:space="preserve">since his childhood, long before joining Mattel. </w:t>
      </w:r>
      <w:r w:rsidR="002318AA" w:rsidRPr="00D004F8">
        <w:rPr>
          <w:rFonts w:hAnsi="Times New Roman" w:cs="Times New Roman"/>
          <w:color w:val="auto"/>
        </w:rPr>
        <w:t>Indeed, during the trial, his attorneys presented substantial amounts of his early drawings from his high school and college years, including submissions to art competitions in his teens. In a</w:t>
      </w:r>
      <w:r w:rsidR="002E5828" w:rsidRPr="00D004F8">
        <w:rPr>
          <w:rFonts w:hAnsi="Times New Roman" w:cs="Times New Roman"/>
          <w:color w:val="auto"/>
        </w:rPr>
        <w:t>nother</w:t>
      </w:r>
      <w:r w:rsidR="002318AA" w:rsidRPr="00D004F8">
        <w:rPr>
          <w:rFonts w:hAnsi="Times New Roman" w:cs="Times New Roman"/>
          <w:color w:val="auto"/>
        </w:rPr>
        <w:t xml:space="preserve"> recent case,</w:t>
      </w:r>
      <w:r w:rsidR="005F3769">
        <w:rPr>
          <w:rFonts w:hAnsi="Times New Roman" w:cs="Times New Roman"/>
          <w:color w:val="auto"/>
        </w:rPr>
        <w:t xml:space="preserve"> </w:t>
      </w:r>
      <w:r w:rsidR="00F44564" w:rsidRPr="00D004F8">
        <w:rPr>
          <w:rFonts w:hAnsi="Times New Roman" w:cs="Times New Roman"/>
        </w:rPr>
        <w:t>an employee of Marathon Oil, Yale Preston, sign</w:t>
      </w:r>
      <w:r w:rsidR="00D004F8" w:rsidRPr="00D004F8">
        <w:rPr>
          <w:rFonts w:hAnsi="Times New Roman" w:cs="Times New Roman"/>
        </w:rPr>
        <w:t>ed an</w:t>
      </w:r>
      <w:r w:rsidR="00F44564" w:rsidRPr="00D004F8">
        <w:rPr>
          <w:rFonts w:hAnsi="Times New Roman" w:cs="Times New Roman"/>
        </w:rPr>
        <w:t xml:space="preserve"> assignment agreement</w:t>
      </w:r>
      <w:r w:rsidR="002B45E0">
        <w:rPr>
          <w:rFonts w:hAnsi="Times New Roman" w:cs="Times New Roman"/>
        </w:rPr>
        <w:t xml:space="preserve"> </w:t>
      </w:r>
      <w:r w:rsidR="00DD1F96">
        <w:rPr>
          <w:rFonts w:hAnsi="Times New Roman" w:cs="Times New Roman"/>
        </w:rPr>
        <w:t xml:space="preserve">that </w:t>
      </w:r>
      <w:r w:rsidR="002B45E0">
        <w:rPr>
          <w:rFonts w:hAnsi="Times New Roman" w:cs="Times New Roman"/>
        </w:rPr>
        <w:t xml:space="preserve">provided for the assignment of inventions “made or conceived” during employment. </w:t>
      </w:r>
      <w:r w:rsidR="00D004F8" w:rsidRPr="00D004F8">
        <w:rPr>
          <w:rFonts w:hAnsi="Times New Roman" w:cs="Times New Roman"/>
        </w:rPr>
        <w:t>Preston claimed he came up with the idea for his invention before his employment began</w:t>
      </w:r>
      <w:r w:rsidR="0041634C">
        <w:rPr>
          <w:rFonts w:hAnsi="Times New Roman" w:cs="Times New Roman"/>
        </w:rPr>
        <w:t xml:space="preserve">, but the Federal Circuit held that regardless of when it was “conceived,” the invention had been first “made,” that is developed, during his employment and thus should </w:t>
      </w:r>
      <w:r w:rsidR="000B68EB">
        <w:rPr>
          <w:rFonts w:hAnsi="Times New Roman" w:cs="Times New Roman"/>
        </w:rPr>
        <w:t>belong</w:t>
      </w:r>
      <w:r w:rsidR="0041634C">
        <w:rPr>
          <w:rFonts w:hAnsi="Times New Roman" w:cs="Times New Roman"/>
        </w:rPr>
        <w:t xml:space="preserve"> to the company.</w:t>
      </w:r>
      <w:r w:rsidR="00D004F8" w:rsidRPr="00D004F8">
        <w:rPr>
          <w:rStyle w:val="FootnoteReference"/>
          <w:rFonts w:hAnsi="Times New Roman" w:cs="Times New Roman"/>
        </w:rPr>
        <w:footnoteReference w:id="84"/>
      </w:r>
      <w:r w:rsidR="005F3769">
        <w:rPr>
          <w:rFonts w:hAnsi="Times New Roman" w:cs="Times New Roman"/>
        </w:rPr>
        <w:t xml:space="preserve"> </w:t>
      </w:r>
      <w:r w:rsidR="002B1061" w:rsidRPr="00374D58">
        <w:rPr>
          <w:rFonts w:hAnsi="Times New Roman" w:cs="Times New Roman"/>
        </w:rPr>
        <w:t>Moreover, t</w:t>
      </w:r>
      <w:r w:rsidR="00D004F8" w:rsidRPr="00374D58">
        <w:rPr>
          <w:rFonts w:hAnsi="Times New Roman" w:cs="Times New Roman"/>
        </w:rPr>
        <w:t xml:space="preserve">he court found </w:t>
      </w:r>
      <w:r w:rsidR="002952B3">
        <w:rPr>
          <w:rFonts w:hAnsi="Times New Roman" w:cs="Times New Roman"/>
        </w:rPr>
        <w:t xml:space="preserve">that </w:t>
      </w:r>
      <w:r w:rsidR="003F50F9" w:rsidRPr="00374D58">
        <w:rPr>
          <w:rFonts w:hAnsi="Times New Roman" w:cs="Times New Roman"/>
        </w:rPr>
        <w:t>Preston</w:t>
      </w:r>
      <w:r w:rsidR="00BF42BB">
        <w:rPr>
          <w:rFonts w:hAnsi="Times New Roman" w:cs="Times New Roman"/>
        </w:rPr>
        <w:t>’s</w:t>
      </w:r>
      <w:r w:rsidR="003F50F9" w:rsidRPr="00374D58">
        <w:rPr>
          <w:rFonts w:hAnsi="Times New Roman" w:cs="Times New Roman"/>
        </w:rPr>
        <w:t xml:space="preserve"> </w:t>
      </w:r>
      <w:r w:rsidR="002952B3">
        <w:rPr>
          <w:rFonts w:hAnsi="Times New Roman" w:cs="Times New Roman"/>
        </w:rPr>
        <w:t>belief that his invention rights were protected because</w:t>
      </w:r>
      <w:r w:rsidR="002952B3" w:rsidRPr="00374D58">
        <w:rPr>
          <w:rFonts w:hAnsi="Times New Roman" w:cs="Times New Roman"/>
        </w:rPr>
        <w:t xml:space="preserve"> </w:t>
      </w:r>
      <w:r w:rsidR="003F50F9" w:rsidRPr="00374D58">
        <w:rPr>
          <w:rFonts w:hAnsi="Times New Roman" w:cs="Times New Roman"/>
        </w:rPr>
        <w:t xml:space="preserve">he </w:t>
      </w:r>
      <w:r w:rsidR="002952B3">
        <w:rPr>
          <w:rFonts w:hAnsi="Times New Roman" w:cs="Times New Roman"/>
        </w:rPr>
        <w:t xml:space="preserve">had </w:t>
      </w:r>
      <w:r w:rsidR="003F50F9" w:rsidRPr="00374D58">
        <w:rPr>
          <w:rFonts w:hAnsi="Times New Roman" w:cs="Times New Roman"/>
        </w:rPr>
        <w:t>conceived of the invention before signing the contract</w:t>
      </w:r>
      <w:r w:rsidR="002952B3">
        <w:rPr>
          <w:rFonts w:hAnsi="Times New Roman" w:cs="Times New Roman"/>
        </w:rPr>
        <w:t xml:space="preserve"> was irrelevant. </w:t>
      </w:r>
    </w:p>
    <w:p w14:paraId="64479A01" w14:textId="0EF7E787" w:rsidR="007F1F19" w:rsidRPr="00DD1543" w:rsidRDefault="002318AA" w:rsidP="005C1EFB">
      <w:pPr>
        <w:pStyle w:val="NormalWeb"/>
        <w:jc w:val="both"/>
        <w:rPr>
          <w:rFonts w:hAnsi="Times New Roman" w:cs="Times New Roman"/>
          <w:color w:val="auto"/>
        </w:rPr>
      </w:pPr>
      <w:r w:rsidRPr="00DD1543">
        <w:rPr>
          <w:rFonts w:hAnsi="Times New Roman" w:cs="Times New Roman"/>
          <w:color w:val="auto"/>
        </w:rPr>
        <w:tab/>
        <w:t xml:space="preserve">The temporal reach of corporate ownership </w:t>
      </w:r>
      <w:r w:rsidR="003C0C7C">
        <w:rPr>
          <w:rFonts w:hAnsi="Times New Roman" w:cs="Times New Roman"/>
          <w:color w:val="auto"/>
        </w:rPr>
        <w:t xml:space="preserve">does not only </w:t>
      </w:r>
      <w:r w:rsidRPr="00DD1543">
        <w:rPr>
          <w:rFonts w:hAnsi="Times New Roman" w:cs="Times New Roman"/>
          <w:color w:val="auto"/>
        </w:rPr>
        <w:t xml:space="preserve">occur </w:t>
      </w:r>
      <w:r w:rsidR="00D004F8">
        <w:rPr>
          <w:rFonts w:hAnsi="Times New Roman" w:cs="Times New Roman"/>
          <w:color w:val="auto"/>
        </w:rPr>
        <w:t>by</w:t>
      </w:r>
      <w:r w:rsidRPr="00DD1543">
        <w:rPr>
          <w:rFonts w:hAnsi="Times New Roman" w:cs="Times New Roman"/>
          <w:color w:val="auto"/>
        </w:rPr>
        <w:t xml:space="preserve"> individual contract</w:t>
      </w:r>
      <w:r w:rsidR="003C0C7C">
        <w:rPr>
          <w:rFonts w:hAnsi="Times New Roman" w:cs="Times New Roman"/>
          <w:color w:val="auto"/>
        </w:rPr>
        <w:t>,</w:t>
      </w:r>
      <w:r w:rsidRPr="00DD1543">
        <w:rPr>
          <w:rFonts w:hAnsi="Times New Roman" w:cs="Times New Roman"/>
          <w:color w:val="auto"/>
        </w:rPr>
        <w:t xml:space="preserve"> but through institutional policy, such as a company hand</w:t>
      </w:r>
      <w:r w:rsidR="000B68EB">
        <w:rPr>
          <w:rFonts w:hAnsi="Times New Roman" w:cs="Times New Roman"/>
          <w:color w:val="auto"/>
        </w:rPr>
        <w:t>book or an employee manual. Pet</w:t>
      </w:r>
      <w:r w:rsidRPr="00DD1543">
        <w:rPr>
          <w:rFonts w:hAnsi="Times New Roman" w:cs="Times New Roman"/>
          <w:color w:val="auto"/>
        </w:rPr>
        <w:t xml:space="preserve">r </w:t>
      </w:r>
      <w:r w:rsidR="005C1EFB">
        <w:rPr>
          <w:rFonts w:hAnsi="Times New Roman" w:cs="Times New Roman"/>
          <w:color w:val="252525"/>
          <w:shd w:val="clear" w:color="auto" w:fill="FFFFFF"/>
        </w:rPr>
        <w:t>Taborsky</w:t>
      </w:r>
      <w:r w:rsidR="005C1EFB" w:rsidRPr="00DD1543">
        <w:rPr>
          <w:rFonts w:hAnsi="Times New Roman" w:cs="Times New Roman"/>
          <w:color w:val="auto"/>
        </w:rPr>
        <w:t xml:space="preserve"> </w:t>
      </w:r>
      <w:r w:rsidRPr="00DD1543">
        <w:rPr>
          <w:rFonts w:hAnsi="Times New Roman" w:cs="Times New Roman"/>
          <w:color w:val="auto"/>
        </w:rPr>
        <w:t xml:space="preserve">was an undergraduate science student at the University of South Florida when he discovered a </w:t>
      </w:r>
      <w:r w:rsidR="002952B3">
        <w:rPr>
          <w:rFonts w:hAnsi="Times New Roman" w:cs="Times New Roman"/>
          <w:color w:val="auto"/>
        </w:rPr>
        <w:t>method</w:t>
      </w:r>
      <w:r w:rsidR="002952B3" w:rsidRPr="00DD1543">
        <w:rPr>
          <w:rFonts w:hAnsi="Times New Roman" w:cs="Times New Roman"/>
          <w:color w:val="auto"/>
        </w:rPr>
        <w:t xml:space="preserve"> </w:t>
      </w:r>
      <w:r w:rsidRPr="00DD1543">
        <w:rPr>
          <w:rFonts w:hAnsi="Times New Roman" w:cs="Times New Roman"/>
          <w:color w:val="auto"/>
        </w:rPr>
        <w:t>to turn cat litter into a reusable human waste-cleaning device.</w:t>
      </w:r>
      <w:r w:rsidR="005C1EFB">
        <w:rPr>
          <w:rStyle w:val="FootnoteReference"/>
          <w:rFonts w:hAnsi="Times New Roman" w:cs="Times New Roman"/>
          <w:color w:val="auto"/>
        </w:rPr>
        <w:footnoteReference w:id="85"/>
      </w:r>
      <w:r w:rsidRPr="00DD1543">
        <w:rPr>
          <w:rFonts w:hAnsi="Times New Roman" w:cs="Times New Roman"/>
          <w:color w:val="auto"/>
        </w:rPr>
        <w:t xml:space="preserve"> Although </w:t>
      </w:r>
      <w:r w:rsidR="005C1EFB">
        <w:rPr>
          <w:rFonts w:hAnsi="Times New Roman" w:cs="Times New Roman"/>
          <w:color w:val="auto"/>
        </w:rPr>
        <w:t>Taborsky</w:t>
      </w:r>
      <w:r w:rsidR="002952B3">
        <w:rPr>
          <w:rFonts w:hAnsi="Times New Roman" w:cs="Times New Roman"/>
          <w:color w:val="auto"/>
        </w:rPr>
        <w:t xml:space="preserve"> </w:t>
      </w:r>
      <w:r w:rsidRPr="00DD1543">
        <w:rPr>
          <w:rFonts w:hAnsi="Times New Roman" w:cs="Times New Roman"/>
          <w:color w:val="auto"/>
        </w:rPr>
        <w:t xml:space="preserve">had not signed an assignment agreement or any other employment agreement, the court </w:t>
      </w:r>
      <w:r w:rsidR="00EE3B6C">
        <w:rPr>
          <w:rFonts w:hAnsi="Times New Roman" w:cs="Times New Roman"/>
          <w:color w:val="auto"/>
        </w:rPr>
        <w:t>held</w:t>
      </w:r>
      <w:r w:rsidR="00EE3B6C" w:rsidRPr="00DD1543">
        <w:rPr>
          <w:rFonts w:hAnsi="Times New Roman" w:cs="Times New Roman"/>
          <w:color w:val="auto"/>
        </w:rPr>
        <w:t xml:space="preserve"> </w:t>
      </w:r>
      <w:r w:rsidRPr="00DD1543">
        <w:rPr>
          <w:rFonts w:hAnsi="Times New Roman" w:cs="Times New Roman"/>
          <w:color w:val="auto"/>
        </w:rPr>
        <w:t xml:space="preserve">that he stole his own research because it was, by virtue of university policy, the property of the university. </w:t>
      </w:r>
      <w:r w:rsidR="00BC137A">
        <w:rPr>
          <w:rFonts w:hAnsi="Times New Roman" w:cs="Times New Roman"/>
          <w:color w:val="auto"/>
        </w:rPr>
        <w:t>Taborsky’s</w:t>
      </w:r>
      <w:r w:rsidR="00BC137A" w:rsidRPr="00DD1543">
        <w:rPr>
          <w:rFonts w:hAnsi="Times New Roman" w:cs="Times New Roman"/>
          <w:color w:val="auto"/>
        </w:rPr>
        <w:t xml:space="preserve"> </w:t>
      </w:r>
      <w:r w:rsidRPr="00DD1543">
        <w:rPr>
          <w:rFonts w:hAnsi="Times New Roman" w:cs="Times New Roman"/>
          <w:color w:val="auto"/>
        </w:rPr>
        <w:t xml:space="preserve">project began with a small grant from a Florida utility company, Florida Progress Corp. The project was initially scheduled to end before </w:t>
      </w:r>
      <w:r w:rsidR="005C1EFB">
        <w:rPr>
          <w:rFonts w:hAnsi="Times New Roman" w:cs="Times New Roman"/>
          <w:color w:val="auto"/>
        </w:rPr>
        <w:t>Taborsky</w:t>
      </w:r>
      <w:r w:rsidR="002952B3">
        <w:rPr>
          <w:rFonts w:hAnsi="Times New Roman" w:cs="Times New Roman"/>
          <w:color w:val="auto"/>
        </w:rPr>
        <w:t xml:space="preserve"> </w:t>
      </w:r>
      <w:r w:rsidRPr="00DD1543">
        <w:rPr>
          <w:rFonts w:hAnsi="Times New Roman" w:cs="Times New Roman"/>
          <w:color w:val="auto"/>
        </w:rPr>
        <w:t xml:space="preserve">made his discovery, but </w:t>
      </w:r>
      <w:r w:rsidR="005C1EFB">
        <w:rPr>
          <w:rFonts w:hAnsi="Times New Roman" w:cs="Times New Roman"/>
          <w:color w:val="252525"/>
          <w:shd w:val="clear" w:color="auto" w:fill="FFFFFF"/>
        </w:rPr>
        <w:t>Taborsky</w:t>
      </w:r>
      <w:r w:rsidR="000B68EB" w:rsidRPr="00DD1543">
        <w:rPr>
          <w:rFonts w:hAnsi="Times New Roman" w:cs="Times New Roman"/>
          <w:color w:val="auto"/>
        </w:rPr>
        <w:t xml:space="preserve"> </w:t>
      </w:r>
      <w:r w:rsidRPr="00DD1543">
        <w:rPr>
          <w:rFonts w:hAnsi="Times New Roman" w:cs="Times New Roman"/>
          <w:color w:val="auto"/>
        </w:rPr>
        <w:t xml:space="preserve">received permission to continue the research as part of his Master’s thesis. When he made the discovery, both the university and the utility company claimed the invention as their own. </w:t>
      </w:r>
    </w:p>
    <w:p w14:paraId="29EBFC05" w14:textId="77777777" w:rsidR="007F1F19" w:rsidRPr="00DD1543" w:rsidRDefault="002318AA" w:rsidP="005C1EFB">
      <w:pPr>
        <w:pStyle w:val="NormalWeb"/>
        <w:jc w:val="both"/>
        <w:rPr>
          <w:rFonts w:hAnsi="Times New Roman" w:cs="Times New Roman"/>
          <w:color w:val="auto"/>
        </w:rPr>
      </w:pPr>
      <w:r w:rsidRPr="00DD1543">
        <w:rPr>
          <w:rFonts w:hAnsi="Times New Roman" w:cs="Times New Roman"/>
          <w:color w:val="auto"/>
        </w:rPr>
        <w:tab/>
      </w:r>
      <w:r w:rsidR="005C1EFB">
        <w:rPr>
          <w:rFonts w:hAnsi="Times New Roman" w:cs="Times New Roman"/>
          <w:color w:val="auto"/>
        </w:rPr>
        <w:t>Taborsky,</w:t>
      </w:r>
      <w:r w:rsidR="00917970">
        <w:rPr>
          <w:rFonts w:hAnsi="Times New Roman" w:cs="Times New Roman"/>
          <w:color w:val="auto"/>
        </w:rPr>
        <w:t xml:space="preserve"> </w:t>
      </w:r>
      <w:r w:rsidRPr="00DD1543">
        <w:rPr>
          <w:rFonts w:hAnsi="Times New Roman" w:cs="Times New Roman"/>
          <w:color w:val="auto"/>
        </w:rPr>
        <w:t>convinced the discovery was his to own</w:t>
      </w:r>
      <w:r w:rsidR="00917970">
        <w:rPr>
          <w:rFonts w:hAnsi="Times New Roman" w:cs="Times New Roman"/>
          <w:color w:val="auto"/>
        </w:rPr>
        <w:t>,</w:t>
      </w:r>
      <w:r w:rsidRPr="00DD1543">
        <w:rPr>
          <w:rFonts w:hAnsi="Times New Roman" w:cs="Times New Roman"/>
          <w:color w:val="auto"/>
        </w:rPr>
        <w:t xml:space="preserve"> filed for a patent. He also held on to his handwritten lab notebooks which became the center of the lawsuit, eventually leading to </w:t>
      </w:r>
      <w:r w:rsidR="005C1EFB">
        <w:rPr>
          <w:rFonts w:hAnsi="Times New Roman" w:cs="Times New Roman"/>
          <w:color w:val="auto"/>
        </w:rPr>
        <w:t>Taborsky</w:t>
      </w:r>
      <w:r w:rsidR="00F15249" w:rsidRPr="00DD1543">
        <w:rPr>
          <w:rFonts w:hAnsi="Times New Roman" w:cs="Times New Roman"/>
          <w:color w:val="auto"/>
        </w:rPr>
        <w:t>’s</w:t>
      </w:r>
      <w:r w:rsidR="002952B3">
        <w:rPr>
          <w:rFonts w:hAnsi="Times New Roman" w:cs="Times New Roman"/>
          <w:color w:val="auto"/>
        </w:rPr>
        <w:t xml:space="preserve"> </w:t>
      </w:r>
      <w:r w:rsidRPr="00DD1543">
        <w:rPr>
          <w:rFonts w:hAnsi="Times New Roman" w:cs="Times New Roman"/>
          <w:color w:val="auto"/>
        </w:rPr>
        <w:t xml:space="preserve">imprisonment. After a court </w:t>
      </w:r>
      <w:r w:rsidR="003A0970">
        <w:rPr>
          <w:rFonts w:hAnsi="Times New Roman" w:cs="Times New Roman"/>
          <w:color w:val="auto"/>
        </w:rPr>
        <w:t>determined that the university owned Tabrosky’s research</w:t>
      </w:r>
      <w:r w:rsidR="00917970">
        <w:rPr>
          <w:rFonts w:hAnsi="Times New Roman" w:cs="Times New Roman"/>
          <w:color w:val="auto"/>
        </w:rPr>
        <w:t>, the notebooks were</w:t>
      </w:r>
      <w:r w:rsidR="00CE323C">
        <w:rPr>
          <w:rFonts w:hAnsi="Times New Roman" w:cs="Times New Roman"/>
          <w:color w:val="auto"/>
        </w:rPr>
        <w:t xml:space="preserve"> also</w:t>
      </w:r>
      <w:r w:rsidR="00917970">
        <w:rPr>
          <w:rFonts w:hAnsi="Times New Roman" w:cs="Times New Roman"/>
          <w:color w:val="auto"/>
        </w:rPr>
        <w:t xml:space="preserve"> deemed </w:t>
      </w:r>
      <w:r w:rsidRPr="00DD1543">
        <w:rPr>
          <w:rFonts w:hAnsi="Times New Roman" w:cs="Times New Roman"/>
          <w:color w:val="auto"/>
        </w:rPr>
        <w:t xml:space="preserve">the property of </w:t>
      </w:r>
      <w:r w:rsidR="00917970">
        <w:rPr>
          <w:rFonts w:hAnsi="Times New Roman" w:cs="Times New Roman"/>
          <w:color w:val="auto"/>
        </w:rPr>
        <w:t>the University of South Florida.</w:t>
      </w:r>
      <w:r w:rsidR="002952B3">
        <w:rPr>
          <w:rFonts w:hAnsi="Times New Roman" w:cs="Times New Roman"/>
          <w:color w:val="auto"/>
        </w:rPr>
        <w:t xml:space="preserve"> </w:t>
      </w:r>
      <w:r w:rsidR="00917970">
        <w:rPr>
          <w:rFonts w:hAnsi="Times New Roman" w:cs="Times New Roman"/>
          <w:color w:val="auto"/>
        </w:rPr>
        <w:t xml:space="preserve">Therefore, </w:t>
      </w:r>
      <w:r w:rsidR="005C1EFB">
        <w:rPr>
          <w:rFonts w:hAnsi="Times New Roman" w:cs="Times New Roman"/>
          <w:color w:val="auto"/>
        </w:rPr>
        <w:t xml:space="preserve">Taborsky </w:t>
      </w:r>
      <w:r w:rsidR="00917970">
        <w:rPr>
          <w:rFonts w:hAnsi="Times New Roman" w:cs="Times New Roman"/>
          <w:color w:val="auto"/>
        </w:rPr>
        <w:t xml:space="preserve">was </w:t>
      </w:r>
      <w:r w:rsidRPr="00DD1543">
        <w:rPr>
          <w:rFonts w:hAnsi="Times New Roman" w:cs="Times New Roman"/>
          <w:color w:val="auto"/>
        </w:rPr>
        <w:t xml:space="preserve">charged for their theft (self-theft perhaps would be the correct term). </w:t>
      </w:r>
    </w:p>
    <w:p w14:paraId="5D30159F" w14:textId="77777777" w:rsidR="007F1F19" w:rsidRDefault="00C41800" w:rsidP="00F949B9">
      <w:pPr>
        <w:pStyle w:val="NormalWeb"/>
        <w:jc w:val="both"/>
        <w:rPr>
          <w:rFonts w:hAnsi="Times New Roman" w:cs="Times New Roman"/>
          <w:color w:val="auto"/>
        </w:rPr>
      </w:pPr>
      <w:r>
        <w:rPr>
          <w:rFonts w:hAnsi="Times New Roman" w:cs="Times New Roman"/>
          <w:color w:val="auto"/>
        </w:rPr>
        <w:tab/>
      </w:r>
      <w:r w:rsidR="005C1EFB">
        <w:rPr>
          <w:rFonts w:hAnsi="Times New Roman" w:cs="Times New Roman"/>
          <w:color w:val="auto"/>
        </w:rPr>
        <w:t>Taborsky</w:t>
      </w:r>
      <w:r w:rsidR="00CE323C">
        <w:rPr>
          <w:rFonts w:hAnsi="Times New Roman" w:cs="Times New Roman"/>
          <w:color w:val="auto"/>
        </w:rPr>
        <w:t>’s</w:t>
      </w:r>
      <w:r w:rsidR="002952B3">
        <w:rPr>
          <w:rFonts w:hAnsi="Times New Roman" w:cs="Times New Roman"/>
          <w:color w:val="auto"/>
        </w:rPr>
        <w:t xml:space="preserve"> </w:t>
      </w:r>
      <w:r w:rsidR="002318AA" w:rsidRPr="00DD1543">
        <w:rPr>
          <w:rFonts w:hAnsi="Times New Roman" w:cs="Times New Roman"/>
          <w:color w:val="auto"/>
        </w:rPr>
        <w:t xml:space="preserve">refusal to comply with the order to transfer ownership of his patent and hand over his notebooks resulted in his imprisonment in a maximum-security state prison. When offered clemency by then Florida </w:t>
      </w:r>
      <w:r w:rsidR="002318AA" w:rsidRPr="00DD1543">
        <w:rPr>
          <w:rFonts w:hAnsi="Times New Roman" w:cs="Times New Roman"/>
          <w:color w:val="auto"/>
        </w:rPr>
        <w:lastRenderedPageBreak/>
        <w:t xml:space="preserve">Governor Lawton Chiles, </w:t>
      </w:r>
      <w:r w:rsidR="005C1EFB">
        <w:rPr>
          <w:rFonts w:hAnsi="Times New Roman" w:cs="Times New Roman"/>
          <w:color w:val="auto"/>
        </w:rPr>
        <w:t>Taborsky</w:t>
      </w:r>
      <w:r w:rsidR="002952B3">
        <w:rPr>
          <w:rFonts w:hAnsi="Times New Roman" w:cs="Times New Roman"/>
          <w:color w:val="auto"/>
        </w:rPr>
        <w:t xml:space="preserve"> </w:t>
      </w:r>
      <w:r w:rsidR="002318AA" w:rsidRPr="00DD1543">
        <w:rPr>
          <w:rFonts w:hAnsi="Times New Roman" w:cs="Times New Roman"/>
          <w:color w:val="auto"/>
        </w:rPr>
        <w:t>declined, explaining that accepting would b</w:t>
      </w:r>
      <w:r w:rsidR="005C1EFB">
        <w:rPr>
          <w:rFonts w:hAnsi="Times New Roman" w:cs="Times New Roman"/>
          <w:color w:val="auto"/>
        </w:rPr>
        <w:t>e tantamount to admitting guilt:</w:t>
      </w:r>
    </w:p>
    <w:p w14:paraId="18BA4B62" w14:textId="77777777" w:rsidR="005C1EFB" w:rsidRPr="00DD1543" w:rsidRDefault="005C1EFB" w:rsidP="005C1EFB">
      <w:pPr>
        <w:pStyle w:val="NormalWeb"/>
        <w:ind w:left="720" w:right="720"/>
        <w:jc w:val="both"/>
        <w:rPr>
          <w:rFonts w:hAnsi="Times New Roman" w:cs="Times New Roman"/>
          <w:color w:val="auto"/>
        </w:rPr>
      </w:pPr>
      <w:r w:rsidRPr="00DD1543">
        <w:rPr>
          <w:rFonts w:hAnsi="Times New Roman" w:cs="Times New Roman"/>
          <w:color w:val="auto"/>
        </w:rPr>
        <w:t>When you think about going to jail, it's so terrifying I couldn't get out of bed in the morning. But at some point I made the decision I wasn't going to let them use the criminal court to get something they weren't entitled to.</w:t>
      </w:r>
    </w:p>
    <w:p w14:paraId="3DEAA12E" w14:textId="5779EBF3" w:rsidR="004B4F40" w:rsidRDefault="008D5A4B" w:rsidP="002D0816">
      <w:pPr>
        <w:pStyle w:val="NormalWeb"/>
        <w:jc w:val="both"/>
        <w:rPr>
          <w:rFonts w:hAnsi="Times New Roman" w:cs="Times New Roman"/>
          <w:color w:val="auto"/>
          <w:spacing w:val="-1"/>
        </w:rPr>
      </w:pPr>
      <w:r>
        <w:rPr>
          <w:rFonts w:hAnsi="Times New Roman" w:cs="Times New Roman"/>
          <w:color w:val="auto"/>
        </w:rPr>
        <w:tab/>
      </w:r>
      <w:r w:rsidR="00B42E00">
        <w:rPr>
          <w:rFonts w:hAnsi="Times New Roman" w:cs="Times New Roman"/>
          <w:color w:val="auto"/>
        </w:rPr>
        <w:t>The</w:t>
      </w:r>
      <w:r w:rsidR="006A6E5F" w:rsidRPr="00DD1543">
        <w:rPr>
          <w:rFonts w:hAnsi="Times New Roman" w:cs="Times New Roman"/>
          <w:color w:val="auto"/>
        </w:rPr>
        <w:t xml:space="preserve"> 2011 Supreme Court case </w:t>
      </w:r>
      <w:r w:rsidR="00B42E00">
        <w:rPr>
          <w:i/>
          <w:iCs/>
        </w:rPr>
        <w:t>Stanford v. Roche</w:t>
      </w:r>
      <w:r w:rsidR="002952B3">
        <w:rPr>
          <w:i/>
          <w:iCs/>
        </w:rPr>
        <w:t xml:space="preserve"> </w:t>
      </w:r>
      <w:r w:rsidR="00B42E00">
        <w:rPr>
          <w:rFonts w:hAnsi="Times New Roman" w:cs="Times New Roman"/>
          <w:color w:val="auto"/>
        </w:rPr>
        <w:t xml:space="preserve">further </w:t>
      </w:r>
      <w:r w:rsidR="00502665">
        <w:rPr>
          <w:rFonts w:hAnsi="Times New Roman" w:cs="Times New Roman"/>
          <w:color w:val="auto"/>
        </w:rPr>
        <w:t>solidified</w:t>
      </w:r>
      <w:r w:rsidR="002318AA" w:rsidRPr="00DD1543">
        <w:rPr>
          <w:rFonts w:hAnsi="Times New Roman" w:cs="Times New Roman"/>
          <w:color w:val="auto"/>
        </w:rPr>
        <w:t xml:space="preserve"> the</w:t>
      </w:r>
      <w:r w:rsidR="00917970">
        <w:rPr>
          <w:rFonts w:hAnsi="Times New Roman" w:cs="Times New Roman"/>
          <w:color w:val="auto"/>
        </w:rPr>
        <w:t xml:space="preserve"> contemporary</w:t>
      </w:r>
      <w:r w:rsidR="002318AA" w:rsidRPr="00DD1543">
        <w:rPr>
          <w:rFonts w:hAnsi="Times New Roman" w:cs="Times New Roman"/>
          <w:color w:val="auto"/>
        </w:rPr>
        <w:t xml:space="preserve"> realities of future innovation assignment</w:t>
      </w:r>
      <w:r w:rsidR="00917970">
        <w:rPr>
          <w:rFonts w:hAnsi="Times New Roman" w:cs="Times New Roman"/>
          <w:color w:val="auto"/>
        </w:rPr>
        <w:t xml:space="preserve"> agreements</w:t>
      </w:r>
      <w:r w:rsidR="00B42E00">
        <w:rPr>
          <w:rFonts w:hAnsi="Times New Roman" w:cs="Times New Roman"/>
          <w:color w:val="auto"/>
        </w:rPr>
        <w:t xml:space="preserve">, which </w:t>
      </w:r>
      <w:r w:rsidR="002952B3">
        <w:rPr>
          <w:rFonts w:hAnsi="Times New Roman" w:cs="Times New Roman"/>
          <w:color w:val="auto"/>
        </w:rPr>
        <w:t xml:space="preserve">preemptively </w:t>
      </w:r>
      <w:r w:rsidR="00B42E00">
        <w:rPr>
          <w:rFonts w:hAnsi="Times New Roman" w:cs="Times New Roman"/>
          <w:color w:val="auto"/>
        </w:rPr>
        <w:t>strip away all rights and claims in one’s innovation</w:t>
      </w:r>
      <w:r w:rsidR="0040494B" w:rsidRPr="00DD1543">
        <w:rPr>
          <w:rFonts w:hAnsi="Times New Roman" w:cs="Times New Roman"/>
          <w:color w:val="auto"/>
        </w:rPr>
        <w:t xml:space="preserve">. </w:t>
      </w:r>
      <w:r w:rsidR="00F15249" w:rsidRPr="00DD1543">
        <w:rPr>
          <w:rFonts w:hAnsi="Times New Roman" w:cs="Times New Roman"/>
          <w:color w:val="auto"/>
        </w:rPr>
        <w:t xml:space="preserve">In this case, </w:t>
      </w:r>
      <w:r w:rsidR="002318AA" w:rsidRPr="00DD1543">
        <w:rPr>
          <w:rFonts w:hAnsi="Times New Roman" w:cs="Times New Roman"/>
          <w:color w:val="auto"/>
          <w:spacing w:val="-1"/>
        </w:rPr>
        <w:t>two institutions</w:t>
      </w:r>
      <w:r w:rsidR="00434904">
        <w:rPr>
          <w:rFonts w:hAnsi="Times New Roman" w:cs="Times New Roman"/>
          <w:color w:val="auto"/>
          <w:spacing w:val="-1"/>
        </w:rPr>
        <w:t xml:space="preserve">, </w:t>
      </w:r>
      <w:r w:rsidR="002318AA" w:rsidRPr="00DD1543">
        <w:rPr>
          <w:rFonts w:hAnsi="Times New Roman" w:cs="Times New Roman"/>
          <w:color w:val="auto"/>
          <w:spacing w:val="-1"/>
        </w:rPr>
        <w:t>Stanford University and the biotech corporation Cetus</w:t>
      </w:r>
      <w:r w:rsidR="00434904">
        <w:rPr>
          <w:rFonts w:hAnsi="Times New Roman" w:cs="Times New Roman"/>
          <w:color w:val="auto"/>
          <w:spacing w:val="-1"/>
        </w:rPr>
        <w:t>,</w:t>
      </w:r>
      <w:r w:rsidR="00F15249" w:rsidRPr="00DD1543">
        <w:rPr>
          <w:rFonts w:hAnsi="Times New Roman" w:cs="Times New Roman"/>
          <w:color w:val="auto"/>
          <w:spacing w:val="-1"/>
        </w:rPr>
        <w:t xml:space="preserve"> disputed over the ownership of a patent. The dispute</w:t>
      </w:r>
      <w:r w:rsidR="002318AA" w:rsidRPr="00DD1543">
        <w:rPr>
          <w:rFonts w:hAnsi="Times New Roman" w:cs="Times New Roman"/>
          <w:color w:val="auto"/>
          <w:spacing w:val="-1"/>
        </w:rPr>
        <w:t xml:space="preserve"> arose from the wording of two </w:t>
      </w:r>
      <w:r w:rsidR="00917970">
        <w:rPr>
          <w:rFonts w:hAnsi="Times New Roman" w:cs="Times New Roman"/>
          <w:color w:val="auto"/>
          <w:spacing w:val="-1"/>
        </w:rPr>
        <w:t xml:space="preserve">competing </w:t>
      </w:r>
      <w:r w:rsidR="002318AA" w:rsidRPr="00DD1543">
        <w:rPr>
          <w:rFonts w:hAnsi="Times New Roman" w:cs="Times New Roman"/>
          <w:color w:val="auto"/>
          <w:spacing w:val="-1"/>
        </w:rPr>
        <w:t xml:space="preserve">agreements </w:t>
      </w:r>
      <w:r w:rsidR="00917970">
        <w:rPr>
          <w:rFonts w:hAnsi="Times New Roman" w:cs="Times New Roman"/>
          <w:color w:val="auto"/>
          <w:spacing w:val="-1"/>
        </w:rPr>
        <w:t>that</w:t>
      </w:r>
      <w:r w:rsidR="002318AA" w:rsidRPr="00DD1543">
        <w:rPr>
          <w:rFonts w:hAnsi="Times New Roman" w:cs="Times New Roman"/>
          <w:color w:val="auto"/>
          <w:spacing w:val="-1"/>
        </w:rPr>
        <w:t xml:space="preserve"> scientist Mark Holodniy </w:t>
      </w:r>
      <w:r w:rsidR="00917970">
        <w:rPr>
          <w:rFonts w:hAnsi="Times New Roman" w:cs="Times New Roman"/>
          <w:color w:val="auto"/>
          <w:spacing w:val="-1"/>
        </w:rPr>
        <w:t xml:space="preserve">had </w:t>
      </w:r>
      <w:r w:rsidR="002318AA" w:rsidRPr="00DD1543">
        <w:rPr>
          <w:rFonts w:hAnsi="Times New Roman" w:cs="Times New Roman"/>
          <w:color w:val="auto"/>
          <w:spacing w:val="-1"/>
        </w:rPr>
        <w:t>signed</w:t>
      </w:r>
      <w:r w:rsidR="002D0816">
        <w:rPr>
          <w:rFonts w:hAnsi="Times New Roman" w:cs="Times New Roman"/>
          <w:color w:val="auto"/>
          <w:spacing w:val="-1"/>
        </w:rPr>
        <w:t>, each assigning future innovation</w:t>
      </w:r>
      <w:r w:rsidR="001C3E65">
        <w:rPr>
          <w:rFonts w:hAnsi="Times New Roman" w:cs="Times New Roman"/>
          <w:color w:val="auto"/>
          <w:spacing w:val="-1"/>
        </w:rPr>
        <w:t xml:space="preserve">. </w:t>
      </w:r>
      <w:r w:rsidR="00FB41FF">
        <w:rPr>
          <w:rFonts w:hAnsi="Times New Roman" w:cs="Times New Roman"/>
          <w:color w:val="auto"/>
          <w:spacing w:val="-1"/>
        </w:rPr>
        <w:t>In the backdrop of</w:t>
      </w:r>
      <w:r w:rsidR="001623D1">
        <w:rPr>
          <w:rFonts w:hAnsi="Times New Roman" w:cs="Times New Roman"/>
          <w:color w:val="auto"/>
          <w:spacing w:val="-1"/>
        </w:rPr>
        <w:t xml:space="preserve"> </w:t>
      </w:r>
      <w:r w:rsidR="00917970">
        <w:rPr>
          <w:rFonts w:hAnsi="Times New Roman" w:cs="Times New Roman"/>
          <w:color w:val="auto"/>
          <w:spacing w:val="-1"/>
        </w:rPr>
        <w:t xml:space="preserve">the new cognitive property, it should not be surprising that the dispute over invention ownership in this case was between two </w:t>
      </w:r>
      <w:r w:rsidR="002D0816">
        <w:rPr>
          <w:rFonts w:hAnsi="Times New Roman" w:cs="Times New Roman"/>
          <w:color w:val="auto"/>
          <w:spacing w:val="-1"/>
        </w:rPr>
        <w:t>institutions, Cetus and Stanford</w:t>
      </w:r>
      <w:r w:rsidR="00917970">
        <w:rPr>
          <w:rFonts w:hAnsi="Times New Roman" w:cs="Times New Roman"/>
          <w:color w:val="auto"/>
          <w:spacing w:val="-1"/>
        </w:rPr>
        <w:t>, while the inventor had long be</w:t>
      </w:r>
      <w:r w:rsidR="002952B3">
        <w:rPr>
          <w:rFonts w:hAnsi="Times New Roman" w:cs="Times New Roman"/>
          <w:color w:val="auto"/>
          <w:spacing w:val="-1"/>
        </w:rPr>
        <w:t>en</w:t>
      </w:r>
      <w:r w:rsidR="00917970">
        <w:rPr>
          <w:rFonts w:hAnsi="Times New Roman" w:cs="Times New Roman"/>
          <w:color w:val="auto"/>
          <w:spacing w:val="-1"/>
        </w:rPr>
        <w:t xml:space="preserve"> stripped of any claims to his invention. The key issue in the case was the interpretation of the phrase “do hereby assign”</w:t>
      </w:r>
      <w:r w:rsidR="002952B3">
        <w:rPr>
          <w:rFonts w:hAnsi="Times New Roman" w:cs="Times New Roman"/>
          <w:color w:val="auto"/>
          <w:spacing w:val="-1"/>
        </w:rPr>
        <w:t xml:space="preserve"> </w:t>
      </w:r>
      <w:r w:rsidR="00B42E00">
        <w:rPr>
          <w:rFonts w:hAnsi="Times New Roman" w:cs="Times New Roman"/>
          <w:color w:val="auto"/>
          <w:spacing w:val="-1"/>
        </w:rPr>
        <w:t>which is commonly used in employment pre-invention assignment agreements.</w:t>
      </w:r>
      <w:r w:rsidR="00917970">
        <w:rPr>
          <w:rFonts w:hAnsi="Times New Roman" w:cs="Times New Roman"/>
          <w:color w:val="auto"/>
          <w:spacing w:val="-1"/>
        </w:rPr>
        <w:t xml:space="preserve"> The Supreme Court affirmed the Court of A</w:t>
      </w:r>
      <w:r w:rsidR="002318AA" w:rsidRPr="00DD1543">
        <w:rPr>
          <w:rFonts w:hAnsi="Times New Roman" w:cs="Times New Roman"/>
          <w:color w:val="auto"/>
          <w:spacing w:val="-1"/>
        </w:rPr>
        <w:t>ppe</w:t>
      </w:r>
      <w:r w:rsidR="00013596">
        <w:rPr>
          <w:rFonts w:hAnsi="Times New Roman" w:cs="Times New Roman"/>
          <w:color w:val="auto"/>
          <w:spacing w:val="-1"/>
        </w:rPr>
        <w:t>als construction of the phrase “do hereby assign”</w:t>
      </w:r>
      <w:r w:rsidR="002318AA" w:rsidRPr="00DD1543">
        <w:rPr>
          <w:rFonts w:hAnsi="Times New Roman" w:cs="Times New Roman"/>
          <w:color w:val="auto"/>
          <w:spacing w:val="-1"/>
        </w:rPr>
        <w:t xml:space="preserve"> for future patent rights used by Cetus as taking effect immediately, thereby trumping Stanford’s </w:t>
      </w:r>
      <w:r w:rsidR="00B42E00">
        <w:rPr>
          <w:rFonts w:hAnsi="Times New Roman" w:cs="Times New Roman"/>
          <w:color w:val="auto"/>
          <w:spacing w:val="-1"/>
        </w:rPr>
        <w:t>“I agree to assign”</w:t>
      </w:r>
      <w:r w:rsidR="002318AA" w:rsidRPr="00DD1543">
        <w:rPr>
          <w:rFonts w:hAnsi="Times New Roman" w:cs="Times New Roman"/>
          <w:color w:val="auto"/>
          <w:spacing w:val="-1"/>
        </w:rPr>
        <w:t xml:space="preserve"> clause, which the </w:t>
      </w:r>
      <w:r w:rsidR="00B42E00">
        <w:rPr>
          <w:rFonts w:hAnsi="Times New Roman" w:cs="Times New Roman"/>
          <w:color w:val="auto"/>
          <w:spacing w:val="-1"/>
        </w:rPr>
        <w:t>C</w:t>
      </w:r>
      <w:r w:rsidR="002318AA" w:rsidRPr="00DD1543">
        <w:rPr>
          <w:rFonts w:hAnsi="Times New Roman" w:cs="Times New Roman"/>
          <w:color w:val="auto"/>
          <w:spacing w:val="-1"/>
        </w:rPr>
        <w:t xml:space="preserve">ourt interpreted </w:t>
      </w:r>
      <w:r w:rsidR="00343BFC">
        <w:rPr>
          <w:rFonts w:hAnsi="Times New Roman" w:cs="Times New Roman"/>
          <w:color w:val="auto"/>
          <w:spacing w:val="-1"/>
        </w:rPr>
        <w:t>as</w:t>
      </w:r>
      <w:r w:rsidR="002318AA" w:rsidRPr="00DD1543">
        <w:rPr>
          <w:rFonts w:hAnsi="Times New Roman" w:cs="Times New Roman"/>
          <w:color w:val="auto"/>
          <w:spacing w:val="-1"/>
        </w:rPr>
        <w:t xml:space="preserve"> a promise of future action.</w:t>
      </w:r>
      <w:r w:rsidR="00237106">
        <w:rPr>
          <w:rStyle w:val="FootnoteReference"/>
          <w:rFonts w:hAnsi="Times New Roman" w:cs="Times New Roman"/>
          <w:color w:val="auto"/>
          <w:spacing w:val="-1"/>
        </w:rPr>
        <w:footnoteReference w:id="86"/>
      </w:r>
    </w:p>
    <w:p w14:paraId="6D362C7D" w14:textId="77777777" w:rsidR="00CC1A9A" w:rsidRDefault="00A04DB6" w:rsidP="00221A4B">
      <w:pPr>
        <w:pStyle w:val="NormalWeb"/>
        <w:jc w:val="both"/>
      </w:pPr>
      <w:r>
        <w:tab/>
      </w:r>
      <w:r w:rsidR="00502665" w:rsidRPr="009342B8">
        <w:rPr>
          <w:rFonts w:hAnsi="Times New Roman" w:cs="Times New Roman"/>
        </w:rPr>
        <w:t>The</w:t>
      </w:r>
      <w:r w:rsidR="00ED38CD" w:rsidRPr="009342B8">
        <w:rPr>
          <w:rFonts w:hAnsi="Times New Roman" w:cs="Times New Roman"/>
        </w:rPr>
        <w:t xml:space="preserve"> </w:t>
      </w:r>
      <w:r w:rsidR="00F306E6" w:rsidRPr="009342B8">
        <w:rPr>
          <w:rFonts w:hAnsi="Times New Roman" w:cs="Times New Roman"/>
        </w:rPr>
        <w:t>“</w:t>
      </w:r>
      <w:r w:rsidR="00B42E00" w:rsidRPr="009342B8">
        <w:rPr>
          <w:rFonts w:hAnsi="Times New Roman" w:cs="Times New Roman"/>
        </w:rPr>
        <w:t>automatic assignment</w:t>
      </w:r>
      <w:r w:rsidR="00221A4B">
        <w:rPr>
          <w:rFonts w:hAnsi="Times New Roman" w:cs="Times New Roman"/>
        </w:rPr>
        <w:t xml:space="preserve">” </w:t>
      </w:r>
      <w:r w:rsidR="00221A4B">
        <w:t>adopted by the Supreme Court</w:t>
      </w:r>
      <w:r w:rsidR="00F306E6" w:rsidRPr="009342B8">
        <w:rPr>
          <w:rFonts w:hAnsi="Times New Roman" w:cs="Times New Roman"/>
        </w:rPr>
        <w:t xml:space="preserve"> </w:t>
      </w:r>
      <w:r w:rsidR="002D0816" w:rsidRPr="009342B8">
        <w:rPr>
          <w:rFonts w:hAnsi="Times New Roman" w:cs="Times New Roman"/>
        </w:rPr>
        <w:t>has meant</w:t>
      </w:r>
      <w:r w:rsidR="00CE526C" w:rsidRPr="009342B8">
        <w:rPr>
          <w:rFonts w:hAnsi="Times New Roman" w:cs="Times New Roman"/>
        </w:rPr>
        <w:t xml:space="preserve"> </w:t>
      </w:r>
      <w:r w:rsidR="00B42E00" w:rsidRPr="009342B8">
        <w:rPr>
          <w:rFonts w:hAnsi="Times New Roman" w:cs="Times New Roman"/>
        </w:rPr>
        <w:t xml:space="preserve">that an employment/assignment agreement signed at the beginning of </w:t>
      </w:r>
      <w:r w:rsidR="00B42E00">
        <w:t xml:space="preserve">employment </w:t>
      </w:r>
      <w:r w:rsidR="007878C0">
        <w:t xml:space="preserve">automatically </w:t>
      </w:r>
      <w:r w:rsidR="00B42E00">
        <w:t>transfers title</w:t>
      </w:r>
      <w:r w:rsidR="00F306E6">
        <w:t xml:space="preserve"> to the employer</w:t>
      </w:r>
      <w:r w:rsidR="009A2C57">
        <w:t>,</w:t>
      </w:r>
      <w:r w:rsidR="00F306E6">
        <w:t xml:space="preserve"> with no further act of transfer required</w:t>
      </w:r>
      <w:r w:rsidR="009A2C57">
        <w:t>,</w:t>
      </w:r>
      <w:r w:rsidR="00B42E00">
        <w:t xml:space="preserve"> once those inventions are conceived and come into existence</w:t>
      </w:r>
      <w:r w:rsidR="0061403E">
        <w:t xml:space="preserve">. These agreements </w:t>
      </w:r>
      <w:r w:rsidR="00B42E00">
        <w:t>often</w:t>
      </w:r>
      <w:r w:rsidR="006C17F2">
        <w:t xml:space="preserve"> lead to the transfer of title of </w:t>
      </w:r>
      <w:r w:rsidR="0061403E">
        <w:t xml:space="preserve">inventions conceived or created </w:t>
      </w:r>
      <w:r w:rsidR="00B42E00">
        <w:t>years after</w:t>
      </w:r>
      <w:r w:rsidR="00F306E6">
        <w:t xml:space="preserve"> the inventor started work with the company. The automatic assignment rule runs contrary to long-understood maxims of </w:t>
      </w:r>
      <w:r w:rsidR="00CC1A9A">
        <w:t>equity</w:t>
      </w:r>
      <w:r w:rsidR="00F306E6">
        <w:t xml:space="preserve">, </w:t>
      </w:r>
      <w:r w:rsidR="00CC1A9A">
        <w:t>which ha</w:t>
      </w:r>
      <w:r w:rsidR="000446D4">
        <w:t>ve</w:t>
      </w:r>
      <w:r w:rsidR="00CC1A9A">
        <w:t xml:space="preserve"> held that</w:t>
      </w:r>
      <w:r w:rsidR="00CE526C">
        <w:t xml:space="preserve"> </w:t>
      </w:r>
      <w:r w:rsidR="00502665">
        <w:t>assignment of future</w:t>
      </w:r>
      <w:r w:rsidR="008E67A4">
        <w:t>,</w:t>
      </w:r>
      <w:r w:rsidR="004B47F4">
        <w:t xml:space="preserve"> not-yet-</w:t>
      </w:r>
      <w:r w:rsidR="00502665">
        <w:t>in</w:t>
      </w:r>
      <w:r w:rsidR="004B47F4">
        <w:t>-</w:t>
      </w:r>
      <w:r w:rsidR="00502665">
        <w:t>existence goods create</w:t>
      </w:r>
      <w:r w:rsidR="004B47F4">
        <w:t>s</w:t>
      </w:r>
      <w:r w:rsidR="00502665">
        <w:t xml:space="preserve"> a</w:t>
      </w:r>
      <w:r w:rsidR="00B42E00">
        <w:t xml:space="preserve"> contract</w:t>
      </w:r>
      <w:r w:rsidR="004B47F4">
        <w:t>ual</w:t>
      </w:r>
      <w:r w:rsidR="00B42E00">
        <w:t xml:space="preserve"> right</w:t>
      </w:r>
      <w:r w:rsidR="00597588">
        <w:t>,</w:t>
      </w:r>
      <w:r w:rsidR="00B42E00">
        <w:t xml:space="preserve"> not the actual assignment itself</w:t>
      </w:r>
      <w:r w:rsidR="00CC1A9A">
        <w:t xml:space="preserve">: </w:t>
      </w:r>
    </w:p>
    <w:p w14:paraId="52559BE3" w14:textId="77777777" w:rsidR="00527DDB" w:rsidRPr="006C17F2" w:rsidRDefault="00CC1A9A" w:rsidP="00AB2860">
      <w:pPr>
        <w:pStyle w:val="BodyText"/>
        <w:overflowPunct w:val="0"/>
        <w:spacing w:line="242" w:lineRule="exact"/>
        <w:ind w:left="720"/>
        <w:jc w:val="both"/>
        <w:rPr>
          <w:rFonts w:ascii="Times New Roman" w:hAnsi="Times New Roman"/>
        </w:rPr>
      </w:pPr>
      <w:r w:rsidRPr="006C17F2">
        <w:rPr>
          <w:rFonts w:ascii="Times New Roman" w:hAnsi="Times New Roman"/>
          <w:spacing w:val="3"/>
        </w:rPr>
        <w:t>T</w:t>
      </w:r>
      <w:r w:rsidRPr="00597588">
        <w:rPr>
          <w:rFonts w:ascii="Times New Roman" w:hAnsi="Times New Roman"/>
          <w:spacing w:val="2"/>
        </w:rPr>
        <w:t>hu</w:t>
      </w:r>
      <w:r w:rsidRPr="00597588">
        <w:rPr>
          <w:rFonts w:ascii="Times New Roman" w:hAnsi="Times New Roman"/>
        </w:rPr>
        <w:t>s,</w:t>
      </w:r>
      <w:r w:rsidR="00CE526C">
        <w:rPr>
          <w:rFonts w:ascii="Times New Roman" w:hAnsi="Times New Roman"/>
        </w:rPr>
        <w:t xml:space="preserve"> </w:t>
      </w:r>
      <w:r w:rsidRPr="00597588">
        <w:rPr>
          <w:rFonts w:ascii="Times New Roman" w:hAnsi="Times New Roman"/>
        </w:rPr>
        <w:t>until</w:t>
      </w:r>
      <w:r w:rsidR="00CE526C">
        <w:rPr>
          <w:rFonts w:ascii="Times New Roman" w:hAnsi="Times New Roman"/>
        </w:rPr>
        <w:t xml:space="preserve"> </w:t>
      </w:r>
      <w:r w:rsidRPr="00597588">
        <w:rPr>
          <w:rFonts w:ascii="Times New Roman" w:hAnsi="Times New Roman"/>
        </w:rPr>
        <w:t>the</w:t>
      </w:r>
      <w:r w:rsidR="00CE526C">
        <w:rPr>
          <w:rFonts w:ascii="Times New Roman" w:hAnsi="Times New Roman"/>
        </w:rPr>
        <w:t xml:space="preserve"> </w:t>
      </w:r>
      <w:r w:rsidRPr="00597588">
        <w:rPr>
          <w:rFonts w:ascii="Times New Roman" w:hAnsi="Times New Roman"/>
        </w:rPr>
        <w:t>pro</w:t>
      </w:r>
      <w:r w:rsidRPr="00597588">
        <w:rPr>
          <w:rFonts w:ascii="Times New Roman" w:hAnsi="Times New Roman"/>
          <w:spacing w:val="-3"/>
        </w:rPr>
        <w:t>p</w:t>
      </w:r>
      <w:r w:rsidRPr="004A797A">
        <w:rPr>
          <w:rFonts w:ascii="Times New Roman" w:hAnsi="Times New Roman"/>
        </w:rPr>
        <w:t>erty</w:t>
      </w:r>
      <w:r w:rsidR="00CE526C">
        <w:rPr>
          <w:rFonts w:ascii="Times New Roman" w:hAnsi="Times New Roman"/>
        </w:rPr>
        <w:t xml:space="preserve"> </w:t>
      </w:r>
      <w:r w:rsidRPr="004A797A">
        <w:rPr>
          <w:rFonts w:ascii="Times New Roman" w:hAnsi="Times New Roman"/>
        </w:rPr>
        <w:t>comes</w:t>
      </w:r>
      <w:r w:rsidR="00CE526C">
        <w:rPr>
          <w:rFonts w:ascii="Times New Roman" w:hAnsi="Times New Roman"/>
        </w:rPr>
        <w:t xml:space="preserve"> </w:t>
      </w:r>
      <w:r w:rsidRPr="004A797A">
        <w:rPr>
          <w:rFonts w:ascii="Times New Roman" w:hAnsi="Times New Roman"/>
        </w:rPr>
        <w:t>into</w:t>
      </w:r>
      <w:r w:rsidR="00CE526C">
        <w:rPr>
          <w:rFonts w:ascii="Times New Roman" w:hAnsi="Times New Roman"/>
        </w:rPr>
        <w:t xml:space="preserve"> </w:t>
      </w:r>
      <w:r w:rsidRPr="004A797A">
        <w:rPr>
          <w:rFonts w:ascii="Times New Roman" w:hAnsi="Times New Roman"/>
        </w:rPr>
        <w:t>existence,</w:t>
      </w:r>
      <w:r w:rsidR="00CE526C">
        <w:rPr>
          <w:rFonts w:ascii="Times New Roman" w:hAnsi="Times New Roman"/>
        </w:rPr>
        <w:t xml:space="preserve"> </w:t>
      </w:r>
      <w:r w:rsidRPr="004A797A">
        <w:rPr>
          <w:rFonts w:ascii="Times New Roman" w:hAnsi="Times New Roman"/>
          <w:spacing w:val="2"/>
        </w:rPr>
        <w:t>th</w:t>
      </w:r>
      <w:r w:rsidRPr="004A797A">
        <w:rPr>
          <w:rFonts w:ascii="Times New Roman" w:hAnsi="Times New Roman"/>
        </w:rPr>
        <w:t>e assignee “h</w:t>
      </w:r>
      <w:r w:rsidRPr="004A797A">
        <w:rPr>
          <w:rFonts w:ascii="Times New Roman" w:hAnsi="Times New Roman"/>
          <w:spacing w:val="2"/>
        </w:rPr>
        <w:t>a</w:t>
      </w:r>
      <w:r w:rsidRPr="004A797A">
        <w:rPr>
          <w:rFonts w:ascii="Times New Roman" w:hAnsi="Times New Roman"/>
        </w:rPr>
        <w:t xml:space="preserve">s nothing </w:t>
      </w:r>
      <w:r w:rsidRPr="0033376D">
        <w:rPr>
          <w:rFonts w:ascii="Times New Roman" w:hAnsi="Times New Roman"/>
          <w:spacing w:val="2"/>
        </w:rPr>
        <w:t>b</w:t>
      </w:r>
      <w:r w:rsidRPr="0033376D">
        <w:rPr>
          <w:rFonts w:ascii="Times New Roman" w:hAnsi="Times New Roman"/>
        </w:rPr>
        <w:t>ut</w:t>
      </w:r>
      <w:r w:rsidR="00CE526C">
        <w:rPr>
          <w:rFonts w:ascii="Times New Roman" w:hAnsi="Times New Roman"/>
        </w:rPr>
        <w:t xml:space="preserve"> </w:t>
      </w:r>
      <w:r w:rsidRPr="0033376D">
        <w:rPr>
          <w:rFonts w:ascii="Times New Roman" w:hAnsi="Times New Roman"/>
        </w:rPr>
        <w:t xml:space="preserve">the contingency, </w:t>
      </w:r>
      <w:r w:rsidRPr="0033376D">
        <w:rPr>
          <w:rFonts w:ascii="Times New Roman" w:hAnsi="Times New Roman"/>
          <w:spacing w:val="2"/>
        </w:rPr>
        <w:t>w</w:t>
      </w:r>
      <w:r w:rsidRPr="0033376D">
        <w:rPr>
          <w:rFonts w:ascii="Times New Roman" w:hAnsi="Times New Roman"/>
        </w:rPr>
        <w:t>hich is a</w:t>
      </w:r>
      <w:r w:rsidR="00CE526C">
        <w:rPr>
          <w:rFonts w:ascii="Times New Roman" w:hAnsi="Times New Roman"/>
        </w:rPr>
        <w:t xml:space="preserve"> </w:t>
      </w:r>
      <w:r w:rsidRPr="0033376D">
        <w:rPr>
          <w:rFonts w:ascii="Times New Roman" w:hAnsi="Times New Roman"/>
        </w:rPr>
        <w:t>very</w:t>
      </w:r>
      <w:r w:rsidR="00CE526C">
        <w:rPr>
          <w:rFonts w:ascii="Times New Roman" w:hAnsi="Times New Roman"/>
        </w:rPr>
        <w:t xml:space="preserve"> </w:t>
      </w:r>
      <w:r w:rsidRPr="0033376D">
        <w:rPr>
          <w:rFonts w:ascii="Times New Roman" w:hAnsi="Times New Roman"/>
        </w:rPr>
        <w:t>diffe</w:t>
      </w:r>
      <w:r w:rsidRPr="0033376D">
        <w:rPr>
          <w:rFonts w:ascii="Times New Roman" w:hAnsi="Times New Roman"/>
          <w:spacing w:val="-3"/>
        </w:rPr>
        <w:t>r</w:t>
      </w:r>
      <w:r w:rsidRPr="0033376D">
        <w:rPr>
          <w:rFonts w:ascii="Times New Roman" w:hAnsi="Times New Roman"/>
        </w:rPr>
        <w:t>ent</w:t>
      </w:r>
      <w:r w:rsidR="00CE526C">
        <w:rPr>
          <w:rFonts w:ascii="Times New Roman" w:hAnsi="Times New Roman"/>
        </w:rPr>
        <w:t xml:space="preserve"> </w:t>
      </w:r>
      <w:r w:rsidRPr="0033376D">
        <w:rPr>
          <w:rFonts w:ascii="Times New Roman" w:hAnsi="Times New Roman"/>
        </w:rPr>
        <w:t>thing</w:t>
      </w:r>
      <w:r w:rsidR="00CE526C">
        <w:rPr>
          <w:rFonts w:ascii="Times New Roman" w:hAnsi="Times New Roman"/>
        </w:rPr>
        <w:t xml:space="preserve"> </w:t>
      </w:r>
      <w:r w:rsidRPr="0033376D">
        <w:rPr>
          <w:rFonts w:ascii="Times New Roman" w:hAnsi="Times New Roman"/>
        </w:rPr>
        <w:t>from</w:t>
      </w:r>
      <w:r w:rsidR="00CE526C">
        <w:rPr>
          <w:rFonts w:ascii="Times New Roman" w:hAnsi="Times New Roman"/>
        </w:rPr>
        <w:t xml:space="preserve"> </w:t>
      </w:r>
      <w:r w:rsidRPr="00BC05C1">
        <w:rPr>
          <w:rFonts w:ascii="Times New Roman" w:hAnsi="Times New Roman"/>
        </w:rPr>
        <w:t>the</w:t>
      </w:r>
      <w:r w:rsidR="00CE526C">
        <w:rPr>
          <w:rFonts w:ascii="Times New Roman" w:hAnsi="Times New Roman"/>
        </w:rPr>
        <w:t xml:space="preserve"> </w:t>
      </w:r>
      <w:r w:rsidRPr="00BC05C1">
        <w:rPr>
          <w:rFonts w:ascii="Times New Roman" w:hAnsi="Times New Roman"/>
        </w:rPr>
        <w:t>right</w:t>
      </w:r>
      <w:r w:rsidR="00CE526C">
        <w:rPr>
          <w:rFonts w:ascii="Times New Roman" w:hAnsi="Times New Roman"/>
        </w:rPr>
        <w:t xml:space="preserve"> </w:t>
      </w:r>
      <w:r w:rsidRPr="00BC05C1">
        <w:rPr>
          <w:rFonts w:ascii="Times New Roman" w:hAnsi="Times New Roman"/>
        </w:rPr>
        <w:t>i</w:t>
      </w:r>
      <w:r w:rsidRPr="00BC05C1">
        <w:rPr>
          <w:rFonts w:ascii="Times New Roman" w:hAnsi="Times New Roman"/>
          <w:spacing w:val="3"/>
        </w:rPr>
        <w:t>m</w:t>
      </w:r>
      <w:r w:rsidRPr="00BC05C1">
        <w:rPr>
          <w:rFonts w:ascii="Times New Roman" w:hAnsi="Times New Roman"/>
          <w:spacing w:val="2"/>
        </w:rPr>
        <w:t>me</w:t>
      </w:r>
      <w:r w:rsidRPr="00BC05C1">
        <w:rPr>
          <w:rFonts w:ascii="Times New Roman" w:hAnsi="Times New Roman"/>
        </w:rPr>
        <w:t>d</w:t>
      </w:r>
      <w:r w:rsidRPr="00BC05C1">
        <w:rPr>
          <w:rFonts w:ascii="Times New Roman" w:hAnsi="Times New Roman"/>
          <w:spacing w:val="2"/>
        </w:rPr>
        <w:t>i</w:t>
      </w:r>
      <w:r w:rsidRPr="00BC05C1">
        <w:rPr>
          <w:rFonts w:ascii="Times New Roman" w:hAnsi="Times New Roman"/>
        </w:rPr>
        <w:t>ate</w:t>
      </w:r>
      <w:r w:rsidRPr="00BC05C1">
        <w:rPr>
          <w:rFonts w:ascii="Times New Roman" w:hAnsi="Times New Roman"/>
          <w:spacing w:val="2"/>
        </w:rPr>
        <w:t>l</w:t>
      </w:r>
      <w:r w:rsidRPr="00BC05C1">
        <w:rPr>
          <w:rFonts w:ascii="Times New Roman" w:hAnsi="Times New Roman"/>
        </w:rPr>
        <w:t>y</w:t>
      </w:r>
      <w:r w:rsidR="00CE526C">
        <w:rPr>
          <w:rFonts w:ascii="Times New Roman" w:hAnsi="Times New Roman"/>
        </w:rPr>
        <w:t xml:space="preserve"> </w:t>
      </w:r>
      <w:r w:rsidRPr="00BC05C1">
        <w:rPr>
          <w:rFonts w:ascii="Times New Roman" w:hAnsi="Times New Roman"/>
        </w:rPr>
        <w:t>to recover</w:t>
      </w:r>
      <w:r w:rsidR="00CE526C">
        <w:rPr>
          <w:rFonts w:ascii="Times New Roman" w:hAnsi="Times New Roman"/>
        </w:rPr>
        <w:t xml:space="preserve"> </w:t>
      </w:r>
      <w:r w:rsidRPr="00BC05C1">
        <w:rPr>
          <w:rFonts w:ascii="Times New Roman" w:hAnsi="Times New Roman"/>
        </w:rPr>
        <w:t>and</w:t>
      </w:r>
      <w:r w:rsidR="00CE526C">
        <w:rPr>
          <w:rFonts w:ascii="Times New Roman" w:hAnsi="Times New Roman"/>
        </w:rPr>
        <w:t xml:space="preserve"> </w:t>
      </w:r>
      <w:r w:rsidRPr="00BC05C1">
        <w:rPr>
          <w:rFonts w:ascii="Times New Roman" w:hAnsi="Times New Roman"/>
        </w:rPr>
        <w:t>enjoy</w:t>
      </w:r>
      <w:r w:rsidR="00CE526C">
        <w:rPr>
          <w:rFonts w:ascii="Times New Roman" w:hAnsi="Times New Roman"/>
        </w:rPr>
        <w:t xml:space="preserve"> </w:t>
      </w:r>
      <w:r w:rsidRPr="004118EB">
        <w:rPr>
          <w:rFonts w:ascii="Times New Roman" w:hAnsi="Times New Roman"/>
        </w:rPr>
        <w:t>the</w:t>
      </w:r>
      <w:r w:rsidR="00CE526C">
        <w:rPr>
          <w:rFonts w:ascii="Times New Roman" w:hAnsi="Times New Roman"/>
        </w:rPr>
        <w:t xml:space="preserve"> </w:t>
      </w:r>
      <w:r w:rsidRPr="00A63204">
        <w:rPr>
          <w:rFonts w:ascii="Times New Roman" w:hAnsi="Times New Roman"/>
        </w:rPr>
        <w:t>pro</w:t>
      </w:r>
      <w:r w:rsidRPr="00E6419B">
        <w:rPr>
          <w:rFonts w:ascii="Times New Roman" w:hAnsi="Times New Roman"/>
          <w:spacing w:val="-5"/>
        </w:rPr>
        <w:t>p</w:t>
      </w:r>
      <w:r w:rsidRPr="003E004C">
        <w:rPr>
          <w:rFonts w:ascii="Times New Roman" w:hAnsi="Times New Roman"/>
        </w:rPr>
        <w:t xml:space="preserve">erty. </w:t>
      </w:r>
      <w:r w:rsidR="00CE526C">
        <w:rPr>
          <w:rFonts w:ascii="Times New Roman" w:hAnsi="Times New Roman"/>
        </w:rPr>
        <w:t xml:space="preserve"> </w:t>
      </w:r>
      <w:r w:rsidRPr="003E004C">
        <w:rPr>
          <w:rFonts w:ascii="Times New Roman" w:hAnsi="Times New Roman"/>
        </w:rPr>
        <w:t xml:space="preserve">It </w:t>
      </w:r>
      <w:r w:rsidRPr="003E004C">
        <w:rPr>
          <w:rFonts w:ascii="Times New Roman" w:hAnsi="Times New Roman"/>
          <w:spacing w:val="3"/>
        </w:rPr>
        <w:t>i</w:t>
      </w:r>
      <w:r w:rsidRPr="003E004C">
        <w:rPr>
          <w:rFonts w:ascii="Times New Roman" w:hAnsi="Times New Roman"/>
        </w:rPr>
        <w:t>s</w:t>
      </w:r>
      <w:r w:rsidR="00CE526C">
        <w:rPr>
          <w:rFonts w:ascii="Times New Roman" w:hAnsi="Times New Roman"/>
        </w:rPr>
        <w:t xml:space="preserve"> </w:t>
      </w:r>
      <w:r w:rsidRPr="00C445DF">
        <w:rPr>
          <w:rFonts w:ascii="Times New Roman" w:hAnsi="Times New Roman"/>
        </w:rPr>
        <w:t>not</w:t>
      </w:r>
      <w:r w:rsidR="00CE526C">
        <w:rPr>
          <w:rFonts w:ascii="Times New Roman" w:hAnsi="Times New Roman"/>
        </w:rPr>
        <w:t xml:space="preserve"> </w:t>
      </w:r>
      <w:r w:rsidRPr="00774A26">
        <w:rPr>
          <w:rFonts w:ascii="Times New Roman" w:hAnsi="Times New Roman"/>
        </w:rPr>
        <w:t>an</w:t>
      </w:r>
      <w:r w:rsidR="00CE526C">
        <w:rPr>
          <w:rFonts w:ascii="Times New Roman" w:hAnsi="Times New Roman"/>
        </w:rPr>
        <w:t xml:space="preserve"> </w:t>
      </w:r>
      <w:r w:rsidRPr="00597333">
        <w:rPr>
          <w:rFonts w:ascii="Times New Roman" w:hAnsi="Times New Roman"/>
        </w:rPr>
        <w:t>interest</w:t>
      </w:r>
      <w:r w:rsidR="00CE526C">
        <w:rPr>
          <w:rFonts w:ascii="Times New Roman" w:hAnsi="Times New Roman"/>
        </w:rPr>
        <w:t xml:space="preserve"> </w:t>
      </w:r>
      <w:r w:rsidRPr="00597333">
        <w:rPr>
          <w:rFonts w:ascii="Times New Roman" w:hAnsi="Times New Roman"/>
        </w:rPr>
        <w:t>in</w:t>
      </w:r>
      <w:r w:rsidR="00CE526C">
        <w:rPr>
          <w:rFonts w:ascii="Times New Roman" w:hAnsi="Times New Roman"/>
        </w:rPr>
        <w:t xml:space="preserve"> </w:t>
      </w:r>
      <w:r w:rsidRPr="005905BF">
        <w:rPr>
          <w:rFonts w:ascii="Times New Roman" w:hAnsi="Times New Roman"/>
        </w:rPr>
        <w:t>pro</w:t>
      </w:r>
      <w:r w:rsidRPr="005905BF">
        <w:rPr>
          <w:rFonts w:ascii="Times New Roman" w:hAnsi="Times New Roman"/>
          <w:spacing w:val="-3"/>
        </w:rPr>
        <w:t>p</w:t>
      </w:r>
      <w:r w:rsidRPr="004702A3">
        <w:rPr>
          <w:rFonts w:ascii="Times New Roman" w:hAnsi="Times New Roman"/>
        </w:rPr>
        <w:t>erty;</w:t>
      </w:r>
      <w:r w:rsidR="00CE526C">
        <w:rPr>
          <w:rFonts w:ascii="Times New Roman" w:hAnsi="Times New Roman"/>
        </w:rPr>
        <w:t xml:space="preserve"> </w:t>
      </w:r>
      <w:r w:rsidRPr="00375FD4">
        <w:rPr>
          <w:rFonts w:ascii="Times New Roman" w:hAnsi="Times New Roman"/>
        </w:rPr>
        <w:t>but</w:t>
      </w:r>
      <w:r w:rsidR="00CE526C">
        <w:rPr>
          <w:rFonts w:ascii="Times New Roman" w:hAnsi="Times New Roman"/>
        </w:rPr>
        <w:t xml:space="preserve"> </w:t>
      </w:r>
      <w:r w:rsidRPr="00DB37B3">
        <w:rPr>
          <w:rFonts w:ascii="Times New Roman" w:hAnsi="Times New Roman"/>
        </w:rPr>
        <w:t>a</w:t>
      </w:r>
      <w:r w:rsidR="00CE526C">
        <w:rPr>
          <w:rFonts w:ascii="Times New Roman" w:hAnsi="Times New Roman"/>
        </w:rPr>
        <w:t xml:space="preserve"> </w:t>
      </w:r>
      <w:r w:rsidRPr="008D63E2">
        <w:rPr>
          <w:rFonts w:ascii="Times New Roman" w:hAnsi="Times New Roman"/>
        </w:rPr>
        <w:t>mere</w:t>
      </w:r>
      <w:r w:rsidR="00CE526C">
        <w:rPr>
          <w:rFonts w:ascii="Times New Roman" w:hAnsi="Times New Roman"/>
        </w:rPr>
        <w:t xml:space="preserve"> </w:t>
      </w:r>
      <w:r w:rsidRPr="00DE1CAD">
        <w:rPr>
          <w:rFonts w:ascii="Times New Roman" w:hAnsi="Times New Roman"/>
        </w:rPr>
        <w:t>right</w:t>
      </w:r>
      <w:r w:rsidR="00CE526C">
        <w:rPr>
          <w:rFonts w:ascii="Times New Roman" w:hAnsi="Times New Roman"/>
        </w:rPr>
        <w:t xml:space="preserve"> </w:t>
      </w:r>
      <w:r w:rsidRPr="00C45367">
        <w:rPr>
          <w:rFonts w:ascii="Times New Roman" w:hAnsi="Times New Roman"/>
        </w:rPr>
        <w:t>under the</w:t>
      </w:r>
      <w:r w:rsidR="00CE526C">
        <w:rPr>
          <w:rFonts w:ascii="Times New Roman" w:hAnsi="Times New Roman"/>
        </w:rPr>
        <w:t xml:space="preserve"> </w:t>
      </w:r>
      <w:r w:rsidRPr="00366702">
        <w:rPr>
          <w:rFonts w:ascii="Times New Roman" w:hAnsi="Times New Roman"/>
        </w:rPr>
        <w:t>contract</w:t>
      </w:r>
      <w:r w:rsidRPr="003D302F">
        <w:rPr>
          <w:rFonts w:ascii="Times New Roman" w:hAnsi="Times New Roman"/>
        </w:rPr>
        <w:t>.</w:t>
      </w:r>
      <w:r w:rsidRPr="00890AEF">
        <w:rPr>
          <w:rFonts w:ascii="Times New Roman" w:hAnsi="Times New Roman"/>
        </w:rPr>
        <w:t>.</w:t>
      </w:r>
      <w:r w:rsidRPr="000B47E2">
        <w:rPr>
          <w:rFonts w:ascii="Times New Roman" w:hAnsi="Times New Roman"/>
        </w:rPr>
        <w:t>.</w:t>
      </w:r>
      <w:r w:rsidRPr="00AB56AB">
        <w:rPr>
          <w:rFonts w:ascii="Times New Roman" w:hAnsi="Times New Roman"/>
        </w:rPr>
        <w:t>f</w:t>
      </w:r>
      <w:r w:rsidRPr="004F6DE6">
        <w:rPr>
          <w:rFonts w:ascii="Times New Roman" w:hAnsi="Times New Roman"/>
          <w:spacing w:val="4"/>
        </w:rPr>
        <w:t>o</w:t>
      </w:r>
      <w:r w:rsidRPr="00CC6D99">
        <w:rPr>
          <w:rFonts w:ascii="Times New Roman" w:hAnsi="Times New Roman"/>
        </w:rPr>
        <w:t>r</w:t>
      </w:r>
      <w:r w:rsidR="00CE526C">
        <w:rPr>
          <w:rFonts w:ascii="Times New Roman" w:hAnsi="Times New Roman"/>
        </w:rPr>
        <w:t xml:space="preserve"> </w:t>
      </w:r>
      <w:r w:rsidRPr="00CF6EE2">
        <w:rPr>
          <w:rFonts w:ascii="Times New Roman" w:hAnsi="Times New Roman"/>
        </w:rPr>
        <w:t>in</w:t>
      </w:r>
      <w:r w:rsidR="00CE526C">
        <w:rPr>
          <w:rFonts w:ascii="Times New Roman" w:hAnsi="Times New Roman"/>
        </w:rPr>
        <w:t xml:space="preserve"> </w:t>
      </w:r>
      <w:r w:rsidRPr="00754F83">
        <w:rPr>
          <w:rFonts w:ascii="Times New Roman" w:hAnsi="Times New Roman"/>
        </w:rPr>
        <w:t>the</w:t>
      </w:r>
      <w:r w:rsidR="00CE526C">
        <w:rPr>
          <w:rFonts w:ascii="Times New Roman" w:hAnsi="Times New Roman"/>
        </w:rPr>
        <w:t xml:space="preserve"> </w:t>
      </w:r>
      <w:r w:rsidRPr="00AA5D04">
        <w:rPr>
          <w:rFonts w:ascii="Times New Roman" w:hAnsi="Times New Roman"/>
        </w:rPr>
        <w:t>contemplation</w:t>
      </w:r>
      <w:r w:rsidR="00CE526C">
        <w:rPr>
          <w:rFonts w:ascii="Times New Roman" w:hAnsi="Times New Roman"/>
        </w:rPr>
        <w:t xml:space="preserve"> </w:t>
      </w:r>
      <w:r w:rsidRPr="007E34AA">
        <w:rPr>
          <w:rFonts w:ascii="Times New Roman" w:hAnsi="Times New Roman"/>
        </w:rPr>
        <w:t>of</w:t>
      </w:r>
      <w:r w:rsidR="00CE526C">
        <w:rPr>
          <w:rFonts w:ascii="Times New Roman" w:hAnsi="Times New Roman"/>
        </w:rPr>
        <w:t xml:space="preserve"> </w:t>
      </w:r>
      <w:r w:rsidRPr="00642918">
        <w:rPr>
          <w:rFonts w:ascii="Times New Roman" w:hAnsi="Times New Roman"/>
        </w:rPr>
        <w:t>Equit</w:t>
      </w:r>
      <w:r w:rsidRPr="00CB12B4">
        <w:rPr>
          <w:rFonts w:ascii="Times New Roman" w:hAnsi="Times New Roman"/>
          <w:spacing w:val="1"/>
        </w:rPr>
        <w:t>y</w:t>
      </w:r>
      <w:r w:rsidRPr="004A1642">
        <w:rPr>
          <w:rFonts w:ascii="Times New Roman" w:hAnsi="Times New Roman"/>
        </w:rPr>
        <w:t>,</w:t>
      </w:r>
      <w:r w:rsidR="00CE526C">
        <w:rPr>
          <w:rFonts w:ascii="Times New Roman" w:hAnsi="Times New Roman"/>
        </w:rPr>
        <w:t xml:space="preserve"> </w:t>
      </w:r>
      <w:r w:rsidRPr="002D2413">
        <w:rPr>
          <w:rFonts w:ascii="Times New Roman" w:hAnsi="Times New Roman"/>
        </w:rPr>
        <w:t>it amounts,</w:t>
      </w:r>
      <w:r w:rsidR="00CE526C">
        <w:rPr>
          <w:rFonts w:ascii="Times New Roman" w:hAnsi="Times New Roman"/>
        </w:rPr>
        <w:t xml:space="preserve"> </w:t>
      </w:r>
      <w:r w:rsidRPr="007B572C">
        <w:rPr>
          <w:rFonts w:ascii="Times New Roman" w:hAnsi="Times New Roman"/>
        </w:rPr>
        <w:t>not</w:t>
      </w:r>
      <w:r w:rsidR="00CE526C">
        <w:rPr>
          <w:rFonts w:ascii="Times New Roman" w:hAnsi="Times New Roman"/>
        </w:rPr>
        <w:t xml:space="preserve"> </w:t>
      </w:r>
      <w:r w:rsidRPr="00574531">
        <w:rPr>
          <w:rFonts w:ascii="Times New Roman" w:hAnsi="Times New Roman"/>
        </w:rPr>
        <w:t>to</w:t>
      </w:r>
      <w:r w:rsidR="00CE526C">
        <w:rPr>
          <w:rFonts w:ascii="Times New Roman" w:hAnsi="Times New Roman"/>
        </w:rPr>
        <w:t xml:space="preserve"> </w:t>
      </w:r>
      <w:r w:rsidRPr="00B33D25">
        <w:rPr>
          <w:rFonts w:ascii="Times New Roman" w:hAnsi="Times New Roman"/>
        </w:rPr>
        <w:t>an</w:t>
      </w:r>
      <w:r w:rsidR="00CE526C">
        <w:rPr>
          <w:rFonts w:ascii="Times New Roman" w:hAnsi="Times New Roman"/>
        </w:rPr>
        <w:t xml:space="preserve"> </w:t>
      </w:r>
      <w:r w:rsidRPr="00C87838">
        <w:rPr>
          <w:rFonts w:ascii="Times New Roman" w:hAnsi="Times New Roman"/>
        </w:rPr>
        <w:t>assignment</w:t>
      </w:r>
      <w:r w:rsidR="00CE526C">
        <w:rPr>
          <w:rFonts w:ascii="Times New Roman" w:hAnsi="Times New Roman"/>
        </w:rPr>
        <w:t xml:space="preserve"> </w:t>
      </w:r>
      <w:r w:rsidRPr="006E7D8B">
        <w:rPr>
          <w:rFonts w:ascii="Times New Roman" w:hAnsi="Times New Roman"/>
        </w:rPr>
        <w:t>of</w:t>
      </w:r>
      <w:r w:rsidR="00CE526C">
        <w:rPr>
          <w:rFonts w:ascii="Times New Roman" w:hAnsi="Times New Roman"/>
        </w:rPr>
        <w:t xml:space="preserve"> </w:t>
      </w:r>
      <w:r w:rsidRPr="00E17C2C">
        <w:rPr>
          <w:rFonts w:ascii="Times New Roman" w:hAnsi="Times New Roman"/>
        </w:rPr>
        <w:t>a</w:t>
      </w:r>
      <w:r w:rsidR="00CE526C">
        <w:rPr>
          <w:rFonts w:ascii="Times New Roman" w:hAnsi="Times New Roman"/>
        </w:rPr>
        <w:t xml:space="preserve"> </w:t>
      </w:r>
      <w:r w:rsidRPr="0062666A">
        <w:rPr>
          <w:rFonts w:ascii="Times New Roman" w:hAnsi="Times New Roman"/>
        </w:rPr>
        <w:lastRenderedPageBreak/>
        <w:t>p</w:t>
      </w:r>
      <w:r w:rsidRPr="008E0AFE">
        <w:rPr>
          <w:rFonts w:ascii="Times New Roman" w:hAnsi="Times New Roman"/>
          <w:spacing w:val="2"/>
        </w:rPr>
        <w:t>re</w:t>
      </w:r>
      <w:r w:rsidRPr="00EB514F">
        <w:rPr>
          <w:rFonts w:ascii="Times New Roman" w:hAnsi="Times New Roman"/>
        </w:rPr>
        <w:t>s</w:t>
      </w:r>
      <w:r w:rsidRPr="00E54770">
        <w:rPr>
          <w:rFonts w:ascii="Times New Roman" w:hAnsi="Times New Roman"/>
          <w:spacing w:val="4"/>
        </w:rPr>
        <w:t>e</w:t>
      </w:r>
      <w:r w:rsidRPr="00FD52E3">
        <w:rPr>
          <w:rFonts w:ascii="Times New Roman" w:hAnsi="Times New Roman"/>
          <w:spacing w:val="2"/>
        </w:rPr>
        <w:t>n</w:t>
      </w:r>
      <w:r w:rsidRPr="005F63CC">
        <w:rPr>
          <w:rFonts w:ascii="Times New Roman" w:hAnsi="Times New Roman"/>
        </w:rPr>
        <w:t>t</w:t>
      </w:r>
      <w:r w:rsidR="00CE526C">
        <w:rPr>
          <w:rFonts w:ascii="Times New Roman" w:hAnsi="Times New Roman"/>
        </w:rPr>
        <w:t xml:space="preserve"> </w:t>
      </w:r>
      <w:r w:rsidRPr="00414A2E">
        <w:rPr>
          <w:rFonts w:ascii="Times New Roman" w:hAnsi="Times New Roman"/>
        </w:rPr>
        <w:t>interest, but</w:t>
      </w:r>
      <w:r w:rsidR="00CE526C">
        <w:rPr>
          <w:rFonts w:ascii="Times New Roman" w:hAnsi="Times New Roman"/>
        </w:rPr>
        <w:t xml:space="preserve"> </w:t>
      </w:r>
      <w:r w:rsidRPr="00445D1F">
        <w:rPr>
          <w:rFonts w:ascii="Times New Roman" w:hAnsi="Times New Roman"/>
        </w:rPr>
        <w:t>only</w:t>
      </w:r>
      <w:r w:rsidR="00CE526C">
        <w:rPr>
          <w:rFonts w:ascii="Times New Roman" w:hAnsi="Times New Roman"/>
        </w:rPr>
        <w:t xml:space="preserve"> </w:t>
      </w:r>
      <w:r w:rsidRPr="009B11F4">
        <w:rPr>
          <w:rFonts w:ascii="Times New Roman" w:hAnsi="Times New Roman"/>
        </w:rPr>
        <w:t>to</w:t>
      </w:r>
      <w:r w:rsidR="00CE526C">
        <w:rPr>
          <w:rFonts w:ascii="Times New Roman" w:hAnsi="Times New Roman"/>
        </w:rPr>
        <w:t xml:space="preserve"> </w:t>
      </w:r>
      <w:r w:rsidRPr="00846AE4">
        <w:rPr>
          <w:rFonts w:ascii="Times New Roman" w:hAnsi="Times New Roman"/>
        </w:rPr>
        <w:t>a</w:t>
      </w:r>
      <w:r w:rsidR="00CE526C">
        <w:rPr>
          <w:rFonts w:ascii="Times New Roman" w:hAnsi="Times New Roman"/>
        </w:rPr>
        <w:t xml:space="preserve"> </w:t>
      </w:r>
      <w:r w:rsidRPr="00B3047C">
        <w:rPr>
          <w:rFonts w:ascii="Times New Roman" w:hAnsi="Times New Roman"/>
        </w:rPr>
        <w:t>contract</w:t>
      </w:r>
      <w:r w:rsidR="00CE526C">
        <w:rPr>
          <w:rFonts w:ascii="Times New Roman" w:hAnsi="Times New Roman"/>
        </w:rPr>
        <w:t xml:space="preserve"> </w:t>
      </w:r>
      <w:r w:rsidRPr="00F91B04">
        <w:rPr>
          <w:rFonts w:ascii="Times New Roman" w:hAnsi="Times New Roman"/>
        </w:rPr>
        <w:t>to</w:t>
      </w:r>
      <w:r w:rsidR="00CE526C">
        <w:rPr>
          <w:rFonts w:ascii="Times New Roman" w:hAnsi="Times New Roman"/>
        </w:rPr>
        <w:t xml:space="preserve"> </w:t>
      </w:r>
      <w:r w:rsidRPr="002550E6">
        <w:rPr>
          <w:rFonts w:ascii="Times New Roman" w:hAnsi="Times New Roman"/>
          <w:spacing w:val="3"/>
        </w:rPr>
        <w:t>a</w:t>
      </w:r>
      <w:r w:rsidRPr="00A35424">
        <w:rPr>
          <w:rFonts w:ascii="Times New Roman" w:hAnsi="Times New Roman"/>
        </w:rPr>
        <w:t>s</w:t>
      </w:r>
      <w:r w:rsidRPr="00ED531A">
        <w:rPr>
          <w:rFonts w:ascii="Times New Roman" w:hAnsi="Times New Roman"/>
          <w:spacing w:val="3"/>
        </w:rPr>
        <w:t>s</w:t>
      </w:r>
      <w:r w:rsidRPr="008F097D">
        <w:rPr>
          <w:rFonts w:ascii="Times New Roman" w:hAnsi="Times New Roman"/>
        </w:rPr>
        <w:t>ign</w:t>
      </w:r>
      <w:r w:rsidR="00CE526C">
        <w:rPr>
          <w:rFonts w:ascii="Times New Roman" w:hAnsi="Times New Roman"/>
        </w:rPr>
        <w:t xml:space="preserve"> </w:t>
      </w:r>
      <w:r w:rsidRPr="001A5713">
        <w:rPr>
          <w:rFonts w:ascii="Times New Roman" w:hAnsi="Times New Roman"/>
        </w:rPr>
        <w:t>when</w:t>
      </w:r>
      <w:r w:rsidR="00CE526C">
        <w:rPr>
          <w:rFonts w:ascii="Times New Roman" w:hAnsi="Times New Roman"/>
        </w:rPr>
        <w:t xml:space="preserve"> </w:t>
      </w:r>
      <w:r w:rsidRPr="00E9331C">
        <w:rPr>
          <w:rFonts w:ascii="Times New Roman" w:hAnsi="Times New Roman"/>
        </w:rPr>
        <w:t>the</w:t>
      </w:r>
      <w:r w:rsidR="00CE526C">
        <w:rPr>
          <w:rFonts w:ascii="Times New Roman" w:hAnsi="Times New Roman"/>
        </w:rPr>
        <w:t xml:space="preserve"> </w:t>
      </w:r>
      <w:r w:rsidRPr="00D91900">
        <w:rPr>
          <w:rFonts w:ascii="Times New Roman" w:hAnsi="Times New Roman"/>
        </w:rPr>
        <w:t>interest becomes vested.</w:t>
      </w:r>
      <w:r w:rsidR="00597588">
        <w:rPr>
          <w:rFonts w:ascii="Times New Roman" w:hAnsi="Times New Roman"/>
        </w:rPr>
        <w:t>”</w:t>
      </w:r>
      <w:r w:rsidRPr="00C24430">
        <w:rPr>
          <w:rStyle w:val="FootnoteReference"/>
          <w:rFonts w:ascii="Times New Roman" w:hAnsi="Times New Roman"/>
        </w:rPr>
        <w:footnoteReference w:id="87"/>
      </w:r>
      <w:r w:rsidRPr="00C24430">
        <w:rPr>
          <w:rFonts w:ascii="Times New Roman" w:hAnsi="Times New Roman"/>
        </w:rPr>
        <w:t> </w:t>
      </w:r>
    </w:p>
    <w:p w14:paraId="394A43A2" w14:textId="77777777" w:rsidR="004B47F4" w:rsidRDefault="004B47F4" w:rsidP="004B47F4">
      <w:pPr>
        <w:autoSpaceDE w:val="0"/>
        <w:autoSpaceDN w:val="0"/>
        <w:ind w:firstLine="0"/>
        <w:rPr>
          <w:rFonts w:ascii="Century Schoolbook" w:eastAsiaTheme="minorHAnsi" w:hAnsi="Century Schoolbook" w:cs="Times New Roman"/>
          <w:color w:val="auto"/>
          <w:bdr w:val="none" w:sz="0" w:space="0" w:color="auto"/>
          <w:lang w:bidi="he-IL"/>
        </w:rPr>
      </w:pPr>
    </w:p>
    <w:p w14:paraId="71117477" w14:textId="5B053BEC" w:rsidR="00502665" w:rsidRDefault="00966FF5" w:rsidP="00221A4B">
      <w:pPr>
        <w:autoSpaceDE w:val="0"/>
        <w:autoSpaceDN w:val="0"/>
        <w:ind w:firstLine="0"/>
        <w:rPr>
          <w:rFonts w:hAnsi="Times New Roman" w:cs="Times New Roman"/>
        </w:rPr>
      </w:pPr>
      <w:r>
        <w:tab/>
      </w:r>
      <w:r w:rsidR="004B47F4" w:rsidRPr="009342B8">
        <w:rPr>
          <w:rFonts w:hAnsi="Times New Roman" w:cs="Times New Roman"/>
        </w:rPr>
        <w:t>Similarly, in tension with the current interpretation</w:t>
      </w:r>
      <w:r w:rsidR="00CC1A9A" w:rsidRPr="009342B8">
        <w:rPr>
          <w:rFonts w:hAnsi="Times New Roman" w:cs="Times New Roman"/>
        </w:rPr>
        <w:t xml:space="preserve"> </w:t>
      </w:r>
      <w:r w:rsidR="004B47F4" w:rsidRPr="009342B8">
        <w:rPr>
          <w:rFonts w:hAnsi="Times New Roman" w:cs="Times New Roman"/>
        </w:rPr>
        <w:t xml:space="preserve">of pre-invention assignment agreements, </w:t>
      </w:r>
      <w:r w:rsidR="00CC1A9A" w:rsidRPr="009342B8">
        <w:rPr>
          <w:rFonts w:hAnsi="Times New Roman" w:cs="Times New Roman"/>
        </w:rPr>
        <w:t>the Uniform Com</w:t>
      </w:r>
      <w:r w:rsidR="004B47F4" w:rsidRPr="009342B8">
        <w:rPr>
          <w:rFonts w:hAnsi="Times New Roman" w:cs="Times New Roman"/>
        </w:rPr>
        <w:t xml:space="preserve">mercial Code states </w:t>
      </w:r>
      <w:r w:rsidR="00221A4B">
        <w:t>“</w:t>
      </w:r>
      <w:r w:rsidR="00221A4B">
        <w:t>g</w:t>
      </w:r>
      <w:r w:rsidR="00221A4B" w:rsidRPr="00C24430">
        <w:rPr>
          <w:rFonts w:hAnsi="Times New Roman" w:cs="Times New Roman"/>
        </w:rPr>
        <w:t xml:space="preserve">oods must be both existing and identified before any interest in them can pass. </w:t>
      </w:r>
      <w:r w:rsidR="00CC1A9A" w:rsidRPr="00117DF0">
        <w:rPr>
          <w:rFonts w:hAnsi="Times New Roman" w:cs="Times New Roman"/>
        </w:rPr>
        <w:t>Goods</w:t>
      </w:r>
      <w:r w:rsidR="00CC1A9A" w:rsidRPr="00C24430">
        <w:rPr>
          <w:rFonts w:hAnsi="Times New Roman" w:cs="Times New Roman"/>
        </w:rPr>
        <w:t xml:space="preserve"> which are not both existing and identified are </w:t>
      </w:r>
      <w:r w:rsidR="004604B6">
        <w:rPr>
          <w:rFonts w:hAnsi="Times New Roman" w:cs="Times New Roman"/>
        </w:rPr>
        <w:t>‘</w:t>
      </w:r>
      <w:r w:rsidR="00CC1A9A" w:rsidRPr="004604B6">
        <w:rPr>
          <w:rFonts w:hAnsi="Times New Roman" w:cs="Times New Roman"/>
        </w:rPr>
        <w:t>future</w:t>
      </w:r>
      <w:r w:rsidR="004604B6">
        <w:rPr>
          <w:rFonts w:hAnsi="Times New Roman" w:cs="Times New Roman"/>
        </w:rPr>
        <w:t>’</w:t>
      </w:r>
      <w:r w:rsidR="00CC1A9A" w:rsidRPr="00C24430">
        <w:rPr>
          <w:rFonts w:hAnsi="Times New Roman" w:cs="Times New Roman"/>
        </w:rPr>
        <w:t xml:space="preserve"> goods. </w:t>
      </w:r>
      <w:r w:rsidR="00CC1A9A" w:rsidRPr="004B47F4">
        <w:rPr>
          <w:rFonts w:hAnsi="Times New Roman" w:cs="Times New Roman"/>
          <w:bCs/>
          <w:iCs/>
        </w:rPr>
        <w:t>A purported present sale of future goods or of any interest therein operates as a contract to sell</w:t>
      </w:r>
      <w:r w:rsidR="00502665" w:rsidRPr="004B47F4">
        <w:rPr>
          <w:rFonts w:hAnsi="Times New Roman" w:cs="Times New Roman"/>
          <w:bCs/>
          <w:iCs/>
        </w:rPr>
        <w:t>.</w:t>
      </w:r>
      <w:r w:rsidR="004B47F4" w:rsidRPr="004B47F4">
        <w:rPr>
          <w:rFonts w:hAnsi="Times New Roman" w:cs="Times New Roman"/>
          <w:bCs/>
          <w:iCs/>
        </w:rPr>
        <w:t>”</w:t>
      </w:r>
      <w:r w:rsidR="00CC1A9A" w:rsidRPr="00C24430">
        <w:rPr>
          <w:rStyle w:val="FootnoteReference"/>
          <w:rFonts w:hAnsi="Times New Roman" w:cs="Times New Roman"/>
        </w:rPr>
        <w:footnoteReference w:id="88"/>
      </w:r>
      <w:r>
        <w:t xml:space="preserve"> </w:t>
      </w:r>
      <w:r w:rsidR="00E4482A">
        <w:t xml:space="preserve">The difference between a contractual right of assignment and an automatic assignment rule is </w:t>
      </w:r>
      <w:r w:rsidR="00AB2588">
        <w:t>significant</w:t>
      </w:r>
      <w:r w:rsidR="00E4482A">
        <w:t xml:space="preserve">. </w:t>
      </w:r>
      <w:r w:rsidR="00D3220D">
        <w:rPr>
          <w:rFonts w:hAnsi="Times New Roman" w:cs="Times New Roman"/>
          <w:color w:val="auto"/>
          <w:spacing w:val="-1"/>
        </w:rPr>
        <w:t>C</w:t>
      </w:r>
      <w:r w:rsidR="00D3220D" w:rsidRPr="00DD1543">
        <w:rPr>
          <w:rFonts w:hAnsi="Times New Roman" w:cs="Times New Roman"/>
          <w:color w:val="auto"/>
          <w:spacing w:val="-1"/>
        </w:rPr>
        <w:t>orporations</w:t>
      </w:r>
      <w:r w:rsidR="00222638">
        <w:rPr>
          <w:rFonts w:hAnsi="Times New Roman" w:cs="Times New Roman"/>
          <w:color w:val="auto"/>
          <w:spacing w:val="-1"/>
        </w:rPr>
        <w:t xml:space="preserve"> </w:t>
      </w:r>
      <w:r w:rsidR="00D3220D" w:rsidRPr="00DD1543">
        <w:rPr>
          <w:rFonts w:hAnsi="Times New Roman" w:cs="Times New Roman"/>
          <w:color w:val="auto"/>
          <w:spacing w:val="-1"/>
        </w:rPr>
        <w:t>have</w:t>
      </w:r>
      <w:r w:rsidR="00222638">
        <w:rPr>
          <w:rFonts w:hAnsi="Times New Roman" w:cs="Times New Roman"/>
          <w:color w:val="auto"/>
          <w:spacing w:val="-1"/>
        </w:rPr>
        <w:t xml:space="preserve"> quickly</w:t>
      </w:r>
      <w:r w:rsidR="00D3220D" w:rsidRPr="00DD1543">
        <w:rPr>
          <w:rFonts w:hAnsi="Times New Roman" w:cs="Times New Roman"/>
          <w:color w:val="auto"/>
          <w:spacing w:val="-1"/>
        </w:rPr>
        <w:t xml:space="preserve"> taken note of this contractual difference between “agree to assign” and “hereby assign” and employ the latter in their standard employment contract. Google’s employment contract</w:t>
      </w:r>
      <w:r w:rsidR="00C445DF">
        <w:rPr>
          <w:rFonts w:hAnsi="Times New Roman" w:cs="Times New Roman"/>
          <w:color w:val="auto"/>
          <w:spacing w:val="-1"/>
        </w:rPr>
        <w:t xml:space="preserve">, </w:t>
      </w:r>
      <w:r w:rsidR="004B47F4">
        <w:rPr>
          <w:rFonts w:hAnsi="Times New Roman" w:cs="Times New Roman"/>
          <w:color w:val="auto"/>
          <w:spacing w:val="-1"/>
        </w:rPr>
        <w:t>for example</w:t>
      </w:r>
      <w:r w:rsidR="00037D95">
        <w:rPr>
          <w:rFonts w:hAnsi="Times New Roman" w:cs="Times New Roman"/>
          <w:color w:val="auto"/>
          <w:spacing w:val="-1"/>
        </w:rPr>
        <w:t>, provides further emphasis on the reach into the future as it</w:t>
      </w:r>
      <w:r w:rsidR="00C445DF">
        <w:rPr>
          <w:rFonts w:hAnsi="Times New Roman" w:cs="Times New Roman"/>
          <w:color w:val="auto"/>
          <w:spacing w:val="-1"/>
        </w:rPr>
        <w:t xml:space="preserve"> states, </w:t>
      </w:r>
      <w:r w:rsidR="00D3220D" w:rsidRPr="00DD1543">
        <w:rPr>
          <w:rFonts w:hAnsi="Times New Roman" w:cs="Times New Roman"/>
          <w:color w:val="auto"/>
          <w:spacing w:val="-1"/>
        </w:rPr>
        <w:t>“</w:t>
      </w:r>
      <w:r w:rsidR="00D3220D" w:rsidRPr="00DD1543">
        <w:rPr>
          <w:rFonts w:hAnsi="Times New Roman" w:cs="Times New Roman"/>
          <w:color w:val="auto"/>
        </w:rPr>
        <w:t>I hereby irrevocably assign to Google Inc. my rights in all Assigned Inventions, and convey to Google Inc. ownership of any Assigned Inventions not yet in existence</w:t>
      </w:r>
      <w:r w:rsidR="00037D95">
        <w:rPr>
          <w:rFonts w:hAnsi="Times New Roman" w:cs="Times New Roman"/>
          <w:color w:val="auto"/>
        </w:rPr>
        <w:t>.</w:t>
      </w:r>
      <w:r w:rsidR="00D3220D" w:rsidRPr="00DD1543">
        <w:rPr>
          <w:rFonts w:hAnsi="Times New Roman" w:cs="Times New Roman"/>
          <w:color w:val="auto"/>
        </w:rPr>
        <w:t>”</w:t>
      </w:r>
      <w:r w:rsidR="004B47F4">
        <w:rPr>
          <w:rFonts w:hAnsi="Times New Roman" w:cs="Times New Roman"/>
          <w:color w:val="auto"/>
        </w:rPr>
        <w:t xml:space="preserve"> </w:t>
      </w:r>
      <w:r w:rsidR="004B47F4" w:rsidRPr="00117DF0">
        <w:rPr>
          <w:rStyle w:val="FootnoteReference"/>
          <w:rFonts w:hAnsi="Times New Roman" w:cs="Times New Roman"/>
          <w:color w:val="auto"/>
        </w:rPr>
        <w:footnoteReference w:id="89"/>
      </w:r>
      <w:r w:rsidR="00222638" w:rsidRPr="00117DF0">
        <w:rPr>
          <w:rFonts w:hAnsi="Times New Roman" w:cs="Times New Roman"/>
          <w:color w:val="auto"/>
        </w:rPr>
        <w:t xml:space="preserve"> </w:t>
      </w:r>
      <w:r w:rsidR="00B26206" w:rsidRPr="009342B8">
        <w:rPr>
          <w:rFonts w:hAnsi="Times New Roman" w:cs="Times New Roman"/>
        </w:rPr>
        <w:t>I</w:t>
      </w:r>
      <w:r w:rsidR="00073BCF" w:rsidRPr="009342B8">
        <w:rPr>
          <w:rFonts w:hAnsi="Times New Roman" w:cs="Times New Roman"/>
        </w:rPr>
        <w:t xml:space="preserve">n a series of recent cases, the rule has meant stripping away </w:t>
      </w:r>
      <w:r w:rsidR="00222638" w:rsidRPr="009342B8">
        <w:rPr>
          <w:rFonts w:hAnsi="Times New Roman" w:cs="Times New Roman"/>
        </w:rPr>
        <w:t xml:space="preserve">an </w:t>
      </w:r>
      <w:r w:rsidR="00073BCF" w:rsidRPr="009342B8">
        <w:rPr>
          <w:rFonts w:hAnsi="Times New Roman" w:cs="Times New Roman"/>
        </w:rPr>
        <w:t>employee</w:t>
      </w:r>
      <w:r w:rsidR="00222638" w:rsidRPr="009342B8">
        <w:rPr>
          <w:rFonts w:hAnsi="Times New Roman" w:cs="Times New Roman"/>
        </w:rPr>
        <w:t>’</w:t>
      </w:r>
      <w:r w:rsidR="00073BCF" w:rsidRPr="009342B8">
        <w:rPr>
          <w:rFonts w:hAnsi="Times New Roman" w:cs="Times New Roman"/>
        </w:rPr>
        <w:t>s ability to contest the validity of the assignment agreement as well as fraudulent actions by their employers.</w:t>
      </w:r>
      <w:r w:rsidR="00073BCF">
        <w:t xml:space="preserve"> I</w:t>
      </w:r>
      <w:r w:rsidR="00B26206">
        <w:t xml:space="preserve">magine an employee who pre-assigns all his future innovation and later discovers that his employer had </w:t>
      </w:r>
      <w:r w:rsidR="00B42E00">
        <w:t>falsely omitted h</w:t>
      </w:r>
      <w:r w:rsidR="00B26206">
        <w:t>er</w:t>
      </w:r>
      <w:r w:rsidR="00B42E00">
        <w:t xml:space="preserve"> from several patent </w:t>
      </w:r>
      <w:r w:rsidR="00B42E00" w:rsidRPr="00C24430">
        <w:rPr>
          <w:rFonts w:hAnsi="Times New Roman" w:cs="Times New Roman"/>
        </w:rPr>
        <w:t xml:space="preserve">applications, </w:t>
      </w:r>
      <w:r w:rsidR="00B26206" w:rsidRPr="00C24430">
        <w:rPr>
          <w:rFonts w:hAnsi="Times New Roman" w:cs="Times New Roman"/>
        </w:rPr>
        <w:t>and obtained patents without</w:t>
      </w:r>
      <w:r w:rsidR="00222638">
        <w:rPr>
          <w:rFonts w:hAnsi="Times New Roman" w:cs="Times New Roman"/>
        </w:rPr>
        <w:t xml:space="preserve"> </w:t>
      </w:r>
      <w:r w:rsidR="00B26206" w:rsidRPr="00C24430">
        <w:rPr>
          <w:rFonts w:hAnsi="Times New Roman" w:cs="Times New Roman"/>
        </w:rPr>
        <w:t>naming the employee as</w:t>
      </w:r>
      <w:r w:rsidR="00B42E00" w:rsidRPr="00C24430">
        <w:rPr>
          <w:rFonts w:hAnsi="Times New Roman" w:cs="Times New Roman"/>
        </w:rPr>
        <w:t xml:space="preserve"> a co-inventor.</w:t>
      </w:r>
      <w:r w:rsidR="00B26206" w:rsidRPr="00C24430">
        <w:rPr>
          <w:rStyle w:val="FootnoteReference"/>
          <w:rFonts w:hAnsi="Times New Roman" w:cs="Times New Roman"/>
        </w:rPr>
        <w:footnoteReference w:id="90"/>
      </w:r>
      <w:r w:rsidR="00B42E00" w:rsidRPr="00C24430">
        <w:rPr>
          <w:rFonts w:hAnsi="Times New Roman" w:cs="Times New Roman"/>
        </w:rPr>
        <w:t> </w:t>
      </w:r>
      <w:r w:rsidR="00502665" w:rsidRPr="00C24430">
        <w:rPr>
          <w:rFonts w:hAnsi="Times New Roman" w:cs="Times New Roman"/>
        </w:rPr>
        <w:t xml:space="preserve">Employee inventors are now held to not have intervening </w:t>
      </w:r>
      <w:r w:rsidR="000E050B">
        <w:rPr>
          <w:rFonts w:hAnsi="Times New Roman" w:cs="Times New Roman"/>
        </w:rPr>
        <w:t>equities that could defeat a pre-assignment contract.</w:t>
      </w:r>
    </w:p>
    <w:p w14:paraId="45ADF889" w14:textId="77777777" w:rsidR="00B1102C" w:rsidRPr="00C24430" w:rsidRDefault="00B1102C" w:rsidP="00597333">
      <w:pPr>
        <w:ind w:firstLine="306"/>
        <w:rPr>
          <w:rFonts w:hAnsi="Times New Roman" w:cs="Times New Roman"/>
          <w:color w:val="auto"/>
        </w:rPr>
      </w:pPr>
    </w:p>
    <w:p w14:paraId="3E246AA0" w14:textId="77777777" w:rsidR="00B42E00" w:rsidRDefault="00F42B14" w:rsidP="00375C2E">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rFonts w:hAnsi="Times New Roman" w:cs="Times New Roman"/>
        </w:rPr>
      </w:pPr>
      <w:r>
        <w:rPr>
          <w:rFonts w:hAnsi="Times New Roman" w:cs="Times New Roman"/>
        </w:rPr>
        <w:tab/>
      </w:r>
      <w:r w:rsidR="00B26206" w:rsidRPr="00C24430">
        <w:rPr>
          <w:rFonts w:hAnsi="Times New Roman" w:cs="Times New Roman"/>
        </w:rPr>
        <w:t xml:space="preserve">In a current case </w:t>
      </w:r>
      <w:r w:rsidR="00955CF8" w:rsidRPr="00C24430">
        <w:rPr>
          <w:rFonts w:hAnsi="Times New Roman" w:cs="Times New Roman"/>
        </w:rPr>
        <w:t xml:space="preserve">on appeal before the </w:t>
      </w:r>
      <w:r w:rsidR="00BE6E3E" w:rsidRPr="00C24430">
        <w:rPr>
          <w:rFonts w:hAnsi="Times New Roman" w:cs="Times New Roman"/>
        </w:rPr>
        <w:t>Federal</w:t>
      </w:r>
      <w:r w:rsidR="00955CF8" w:rsidRPr="00C24430">
        <w:rPr>
          <w:rFonts w:hAnsi="Times New Roman" w:cs="Times New Roman"/>
        </w:rPr>
        <w:t xml:space="preserve"> Circuit,</w:t>
      </w:r>
      <w:r w:rsidR="00E13960" w:rsidRPr="00C24430">
        <w:rPr>
          <w:rFonts w:hAnsi="Times New Roman" w:cs="Times New Roman"/>
        </w:rPr>
        <w:t xml:space="preserve"> inventor</w:t>
      </w:r>
      <w:r w:rsidR="00955CF8" w:rsidRPr="00C24430">
        <w:rPr>
          <w:rFonts w:hAnsi="Times New Roman" w:cs="Times New Roman"/>
        </w:rPr>
        <w:t xml:space="preserve"> Dr. </w:t>
      </w:r>
      <w:r w:rsidR="00E13960" w:rsidRPr="00C24430">
        <w:rPr>
          <w:rFonts w:hAnsi="Times New Roman" w:cs="Times New Roman"/>
        </w:rPr>
        <w:t xml:space="preserve">Alex </w:t>
      </w:r>
      <w:r w:rsidR="00955CF8" w:rsidRPr="00C24430">
        <w:rPr>
          <w:rFonts w:hAnsi="Times New Roman" w:cs="Times New Roman"/>
        </w:rPr>
        <w:t>Shukh</w:t>
      </w:r>
      <w:r w:rsidR="00222638">
        <w:rPr>
          <w:rFonts w:hAnsi="Times New Roman" w:cs="Times New Roman"/>
        </w:rPr>
        <w:t xml:space="preserve"> </w:t>
      </w:r>
      <w:r w:rsidR="00E13960" w:rsidRPr="00C24430">
        <w:rPr>
          <w:rFonts w:hAnsi="Times New Roman" w:cs="Times New Roman"/>
        </w:rPr>
        <w:t>discovered that he was</w:t>
      </w:r>
      <w:r w:rsidR="00222638">
        <w:rPr>
          <w:rFonts w:hAnsi="Times New Roman" w:cs="Times New Roman"/>
        </w:rPr>
        <w:t xml:space="preserve"> </w:t>
      </w:r>
      <w:r w:rsidR="00BE6E3E" w:rsidRPr="00C24430">
        <w:rPr>
          <w:rFonts w:hAnsi="Times New Roman" w:cs="Times New Roman"/>
        </w:rPr>
        <w:t>wrongly</w:t>
      </w:r>
      <w:r w:rsidR="0012360E" w:rsidRPr="00C24430">
        <w:rPr>
          <w:rFonts w:hAnsi="Times New Roman" w:cs="Times New Roman"/>
        </w:rPr>
        <w:t xml:space="preserve"> omitted </w:t>
      </w:r>
      <w:r w:rsidR="00E13960" w:rsidRPr="00C24430">
        <w:rPr>
          <w:rFonts w:hAnsi="Times New Roman" w:cs="Times New Roman"/>
        </w:rPr>
        <w:t>from several patents</w:t>
      </w:r>
      <w:r w:rsidR="00DB58B0" w:rsidRPr="00C24430">
        <w:rPr>
          <w:rFonts w:hAnsi="Times New Roman" w:cs="Times New Roman"/>
        </w:rPr>
        <w:t xml:space="preserve"> filed by</w:t>
      </w:r>
      <w:r w:rsidR="00E13960" w:rsidRPr="00C24430">
        <w:rPr>
          <w:rFonts w:hAnsi="Times New Roman" w:cs="Times New Roman"/>
        </w:rPr>
        <w:t xml:space="preserve"> his e</w:t>
      </w:r>
      <w:r w:rsidR="0012360E" w:rsidRPr="00C24430">
        <w:rPr>
          <w:rFonts w:hAnsi="Times New Roman" w:cs="Times New Roman"/>
        </w:rPr>
        <w:t>mployer.</w:t>
      </w:r>
      <w:r w:rsidR="00DB58B0" w:rsidRPr="00C24430">
        <w:rPr>
          <w:rStyle w:val="FootnoteReference"/>
          <w:rFonts w:hAnsi="Times New Roman" w:cs="Times New Roman"/>
        </w:rPr>
        <w:footnoteReference w:id="91"/>
      </w:r>
      <w:r w:rsidR="00222638">
        <w:rPr>
          <w:rFonts w:hAnsi="Times New Roman" w:cs="Times New Roman"/>
        </w:rPr>
        <w:t xml:space="preserve"> </w:t>
      </w:r>
      <w:r w:rsidR="00DB58B0" w:rsidRPr="00C24430">
        <w:rPr>
          <w:rFonts w:hAnsi="Times New Roman" w:cs="Times New Roman"/>
          <w:color w:val="auto"/>
          <w:lang w:bidi="he-IL"/>
        </w:rPr>
        <w:t>Shukh</w:t>
      </w:r>
      <w:r w:rsidR="00222638">
        <w:rPr>
          <w:rFonts w:hAnsi="Times New Roman" w:cs="Times New Roman"/>
          <w:color w:val="auto"/>
          <w:lang w:bidi="he-IL"/>
        </w:rPr>
        <w:t xml:space="preserve"> </w:t>
      </w:r>
      <w:r w:rsidR="005905BF">
        <w:rPr>
          <w:rFonts w:hAnsi="Times New Roman" w:cs="Times New Roman"/>
          <w:color w:val="auto"/>
          <w:lang w:bidi="he-IL"/>
        </w:rPr>
        <w:t>was</w:t>
      </w:r>
      <w:r w:rsidR="00DB58B0" w:rsidRPr="00C24430">
        <w:rPr>
          <w:rFonts w:hAnsi="Times New Roman" w:cs="Times New Roman"/>
          <w:color w:val="auto"/>
          <w:lang w:bidi="he-IL"/>
        </w:rPr>
        <w:t xml:space="preserve"> a star inventor for Seagate</w:t>
      </w:r>
      <w:r w:rsidR="00222638">
        <w:rPr>
          <w:rFonts w:hAnsi="Times New Roman" w:cs="Times New Roman"/>
          <w:color w:val="auto"/>
          <w:lang w:bidi="he-IL"/>
        </w:rPr>
        <w:t>,</w:t>
      </w:r>
      <w:r w:rsidR="00DB58B0" w:rsidRPr="00C24430">
        <w:rPr>
          <w:rFonts w:hAnsi="Times New Roman" w:cs="Times New Roman"/>
          <w:color w:val="auto"/>
          <w:lang w:bidi="he-IL"/>
        </w:rPr>
        <w:t xml:space="preserve"> with n</w:t>
      </w:r>
      <w:r w:rsidR="00E13960" w:rsidRPr="00C24430">
        <w:rPr>
          <w:rFonts w:hAnsi="Times New Roman" w:cs="Times New Roman"/>
          <w:color w:val="auto"/>
          <w:lang w:bidi="he-IL"/>
        </w:rPr>
        <w:t>ine of his inventions incorporated into</w:t>
      </w:r>
      <w:r w:rsidR="00222638">
        <w:rPr>
          <w:rFonts w:hAnsi="Times New Roman" w:cs="Times New Roman"/>
          <w:color w:val="auto"/>
          <w:lang w:bidi="he-IL"/>
        </w:rPr>
        <w:t xml:space="preserve"> </w:t>
      </w:r>
      <w:r w:rsidR="00E13960" w:rsidRPr="00C24430">
        <w:rPr>
          <w:rFonts w:hAnsi="Times New Roman" w:cs="Times New Roman"/>
          <w:color w:val="auto"/>
          <w:lang w:bidi="he-IL"/>
        </w:rPr>
        <w:t>several Seagate pr</w:t>
      </w:r>
      <w:r w:rsidR="00DB58B0" w:rsidRPr="00C24430">
        <w:rPr>
          <w:rFonts w:hAnsi="Times New Roman" w:cs="Times New Roman"/>
          <w:color w:val="auto"/>
          <w:lang w:bidi="he-IL"/>
        </w:rPr>
        <w:t>oduct lines of hard disk drives.</w:t>
      </w:r>
      <w:r w:rsidR="00222638">
        <w:rPr>
          <w:rFonts w:hAnsi="Times New Roman" w:cs="Times New Roman"/>
          <w:color w:val="auto"/>
          <w:lang w:bidi="he-IL"/>
        </w:rPr>
        <w:t xml:space="preserve"> </w:t>
      </w:r>
      <w:r w:rsidR="00DB58B0" w:rsidRPr="00C24430">
        <w:rPr>
          <w:rFonts w:hAnsi="Times New Roman" w:cs="Times New Roman"/>
          <w:color w:val="auto"/>
          <w:lang w:bidi="he-IL"/>
        </w:rPr>
        <w:t xml:space="preserve">While Shukh was named as an inventor </w:t>
      </w:r>
      <w:r w:rsidR="00222638">
        <w:rPr>
          <w:rFonts w:hAnsi="Times New Roman" w:cs="Times New Roman"/>
          <w:color w:val="auto"/>
          <w:lang w:bidi="he-IL"/>
        </w:rPr>
        <w:t>for</w:t>
      </w:r>
      <w:r w:rsidR="00222638" w:rsidRPr="00C24430">
        <w:rPr>
          <w:rFonts w:hAnsi="Times New Roman" w:cs="Times New Roman"/>
          <w:color w:val="auto"/>
          <w:lang w:bidi="he-IL"/>
        </w:rPr>
        <w:t xml:space="preserve"> </w:t>
      </w:r>
      <w:r w:rsidR="00DB58B0" w:rsidRPr="00C24430">
        <w:rPr>
          <w:rFonts w:hAnsi="Times New Roman" w:cs="Times New Roman"/>
          <w:color w:val="auto"/>
          <w:lang w:bidi="he-IL"/>
        </w:rPr>
        <w:t xml:space="preserve">several of his inventions early in his employment, later on, when his work relationship with his supervisors became strained, Shukh discovered that Seagate applied for other patents on inventions he co-invented without disclosing his co-inventorship. </w:t>
      </w:r>
      <w:r w:rsidR="00DB58B0" w:rsidRPr="00592E9A">
        <w:rPr>
          <w:rFonts w:hAnsi="Times New Roman" w:cs="Times New Roman"/>
        </w:rPr>
        <w:t>Shukh demonstrated that he</w:t>
      </w:r>
      <w:r w:rsidR="0012360E" w:rsidRPr="00592E9A">
        <w:rPr>
          <w:rFonts w:hAnsi="Times New Roman" w:cs="Times New Roman"/>
        </w:rPr>
        <w:t xml:space="preserve"> was given inventorship awards for inventions that Seagate </w:t>
      </w:r>
      <w:r w:rsidR="00592E9A" w:rsidRPr="00A40A70">
        <w:rPr>
          <w:rFonts w:hAnsi="Times New Roman" w:cs="Times New Roman"/>
        </w:rPr>
        <w:t xml:space="preserve">had patent applications on, but he was falsely </w:t>
      </w:r>
      <w:r w:rsidR="00592E9A" w:rsidRPr="00A40A70">
        <w:rPr>
          <w:rFonts w:hAnsi="Times New Roman" w:cs="Times New Roman"/>
        </w:rPr>
        <w:lastRenderedPageBreak/>
        <w:t xml:space="preserve">told these inventions would not be pursued for patenting. </w:t>
      </w:r>
      <w:r w:rsidR="00222638">
        <w:rPr>
          <w:rFonts w:hAnsi="Times New Roman" w:cs="Times New Roman"/>
        </w:rPr>
        <w:t>A</w:t>
      </w:r>
      <w:r w:rsidR="00222638" w:rsidRPr="00C24430">
        <w:rPr>
          <w:rFonts w:hAnsi="Times New Roman" w:cs="Times New Roman"/>
        </w:rPr>
        <w:t xml:space="preserve">utomatic </w:t>
      </w:r>
      <w:r w:rsidR="00202946" w:rsidRPr="00C24430">
        <w:rPr>
          <w:rFonts w:hAnsi="Times New Roman" w:cs="Times New Roman"/>
        </w:rPr>
        <w:t xml:space="preserve">assignment construction </w:t>
      </w:r>
      <w:r w:rsidR="0062026B">
        <w:rPr>
          <w:rFonts w:hAnsi="Times New Roman" w:cs="Times New Roman"/>
        </w:rPr>
        <w:t>divests</w:t>
      </w:r>
      <w:r w:rsidR="00222638">
        <w:rPr>
          <w:rFonts w:hAnsi="Times New Roman" w:cs="Times New Roman"/>
        </w:rPr>
        <w:t xml:space="preserve"> inventors</w:t>
      </w:r>
      <w:r w:rsidR="00202946" w:rsidRPr="00C24430">
        <w:rPr>
          <w:rFonts w:hAnsi="Times New Roman" w:cs="Times New Roman"/>
        </w:rPr>
        <w:t xml:space="preserve"> not only of ownership rights but also inventorship rights. T</w:t>
      </w:r>
      <w:r w:rsidR="0012360E" w:rsidRPr="00C24430">
        <w:rPr>
          <w:rFonts w:hAnsi="Times New Roman" w:cs="Times New Roman"/>
        </w:rPr>
        <w:t xml:space="preserve">he </w:t>
      </w:r>
      <w:r w:rsidR="00202946" w:rsidRPr="00C24430">
        <w:rPr>
          <w:rFonts w:hAnsi="Times New Roman" w:cs="Times New Roman"/>
        </w:rPr>
        <w:t>court ruled that because of the assignment agreement, the</w:t>
      </w:r>
      <w:r w:rsidR="0012360E" w:rsidRPr="00C24430">
        <w:rPr>
          <w:rFonts w:hAnsi="Times New Roman" w:cs="Times New Roman"/>
        </w:rPr>
        <w:t xml:space="preserve"> employee did not have standing to</w:t>
      </w:r>
      <w:r w:rsidR="00202946" w:rsidRPr="00C24430">
        <w:rPr>
          <w:rFonts w:hAnsi="Times New Roman" w:cs="Times New Roman"/>
        </w:rPr>
        <w:t xml:space="preserve"> seek correction of the patents nor did he have </w:t>
      </w:r>
      <w:r w:rsidR="00955CF8" w:rsidRPr="00C24430">
        <w:rPr>
          <w:rFonts w:hAnsi="Times New Roman" w:cs="Times New Roman"/>
        </w:rPr>
        <w:t>a reputational interest.</w:t>
      </w:r>
      <w:r w:rsidR="00202946" w:rsidRPr="00C24430">
        <w:rPr>
          <w:rStyle w:val="FootnoteReference"/>
          <w:rFonts w:hAnsi="Times New Roman" w:cs="Times New Roman"/>
        </w:rPr>
        <w:footnoteReference w:id="92"/>
      </w:r>
      <w:r w:rsidR="00E5482C" w:rsidRPr="00E5482C">
        <w:rPr>
          <w:rStyle w:val="FootnoteReference"/>
        </w:rPr>
        <w:t xml:space="preserve"> </w:t>
      </w:r>
    </w:p>
    <w:p w14:paraId="161B4136" w14:textId="77777777" w:rsidR="00645EE1" w:rsidRPr="00C24430" w:rsidRDefault="00645EE1" w:rsidP="00375C2E">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hAnsi="Times New Roman" w:cs="Times New Roman"/>
        </w:rPr>
      </w:pPr>
    </w:p>
    <w:p w14:paraId="2EA17A3A" w14:textId="77777777" w:rsidR="007F1F19" w:rsidRPr="00DD1543" w:rsidRDefault="00455B58" w:rsidP="00542ED1">
      <w:pPr>
        <w:spacing w:after="240"/>
        <w:ind w:firstLine="0"/>
        <w:rPr>
          <w:rFonts w:hAnsi="Times New Roman" w:cs="Times New Roman"/>
          <w:color w:val="auto"/>
        </w:rPr>
      </w:pPr>
      <w:r>
        <w:rPr>
          <w:rFonts w:hAnsi="Times New Roman" w:cs="Times New Roman"/>
        </w:rPr>
        <w:tab/>
      </w:r>
      <w:r w:rsidR="00222638">
        <w:rPr>
          <w:rFonts w:hAnsi="Times New Roman" w:cs="Times New Roman"/>
        </w:rPr>
        <w:t>Courts have further interpreted t</w:t>
      </w:r>
      <w:r w:rsidR="00B42E00" w:rsidRPr="0021504C">
        <w:rPr>
          <w:rFonts w:hAnsi="Times New Roman" w:cs="Times New Roman"/>
        </w:rPr>
        <w:t>he “automatic assignment” rule to divest an employee/inventor of standing to seek correction of inventorship under the Patent Act. </w:t>
      </w:r>
      <w:r w:rsidR="00BE6E3E">
        <w:rPr>
          <w:rFonts w:hAnsi="Times New Roman" w:cs="Times New Roman"/>
        </w:rPr>
        <w:t>In several recent cases, t</w:t>
      </w:r>
      <w:r w:rsidR="00B42E00" w:rsidRPr="0021504C">
        <w:rPr>
          <w:rFonts w:hAnsi="Times New Roman" w:cs="Times New Roman"/>
        </w:rPr>
        <w:t xml:space="preserve">he Federal Circuit held that an inventor who has assigned his or her inventions to an employer does not have standing to sue for the correction of inventorship because the inventor no </w:t>
      </w:r>
      <w:r w:rsidR="00B42E00" w:rsidRPr="00117DF0">
        <w:rPr>
          <w:rFonts w:hAnsi="Times New Roman" w:cs="Times New Roman"/>
        </w:rPr>
        <w:t>longer has a stake in the invention.</w:t>
      </w:r>
      <w:r w:rsidR="0012360E" w:rsidRPr="00117DF0">
        <w:rPr>
          <w:rStyle w:val="FootnoteReference"/>
          <w:rFonts w:hAnsi="Times New Roman" w:cs="Times New Roman"/>
        </w:rPr>
        <w:footnoteReference w:id="93"/>
      </w:r>
      <w:r w:rsidR="00222638" w:rsidRPr="00117DF0">
        <w:rPr>
          <w:rFonts w:hAnsi="Times New Roman" w:cs="Times New Roman"/>
        </w:rPr>
        <w:t xml:space="preserve"> </w:t>
      </w:r>
      <w:r w:rsidR="0012360E" w:rsidRPr="009342B8">
        <w:rPr>
          <w:rFonts w:hAnsi="Times New Roman" w:cs="Times New Roman"/>
        </w:rPr>
        <w:t xml:space="preserve">In other words, the construction of </w:t>
      </w:r>
      <w:r w:rsidR="00542ED1">
        <w:rPr>
          <w:rFonts w:hAnsi="Times New Roman" w:cs="Times New Roman"/>
        </w:rPr>
        <w:t>“hereby assign”</w:t>
      </w:r>
      <w:r w:rsidR="00222638" w:rsidRPr="009342B8">
        <w:rPr>
          <w:rFonts w:hAnsi="Times New Roman" w:cs="Times New Roman"/>
        </w:rPr>
        <w:t xml:space="preserve"> </w:t>
      </w:r>
      <w:r w:rsidR="00A054EE" w:rsidRPr="009342B8">
        <w:rPr>
          <w:rFonts w:hAnsi="Times New Roman" w:cs="Times New Roman"/>
        </w:rPr>
        <w:t xml:space="preserve">does not only </w:t>
      </w:r>
      <w:r w:rsidR="0012360E" w:rsidRPr="009342B8">
        <w:rPr>
          <w:rFonts w:hAnsi="Times New Roman" w:cs="Times New Roman"/>
        </w:rPr>
        <w:t>propertize</w:t>
      </w:r>
      <w:r w:rsidR="00222638" w:rsidRPr="009342B8">
        <w:rPr>
          <w:rFonts w:hAnsi="Times New Roman" w:cs="Times New Roman"/>
        </w:rPr>
        <w:t xml:space="preserve"> </w:t>
      </w:r>
      <w:r w:rsidR="00BE6E3E" w:rsidRPr="009342B8">
        <w:rPr>
          <w:rFonts w:hAnsi="Times New Roman" w:cs="Times New Roman"/>
        </w:rPr>
        <w:t xml:space="preserve">in advance </w:t>
      </w:r>
      <w:r w:rsidR="0012360E" w:rsidRPr="009342B8">
        <w:rPr>
          <w:rFonts w:hAnsi="Times New Roman" w:cs="Times New Roman"/>
        </w:rPr>
        <w:t xml:space="preserve">all </w:t>
      </w:r>
      <w:r w:rsidR="00BE6E3E" w:rsidRPr="009342B8">
        <w:rPr>
          <w:rFonts w:hAnsi="Times New Roman" w:cs="Times New Roman"/>
        </w:rPr>
        <w:t xml:space="preserve">inventions that will be correctly filed by the employer, but also </w:t>
      </w:r>
      <w:r w:rsidR="0012360E" w:rsidRPr="009342B8">
        <w:rPr>
          <w:rFonts w:hAnsi="Times New Roman" w:cs="Times New Roman"/>
        </w:rPr>
        <w:t>has the effect of</w:t>
      </w:r>
      <w:r w:rsidR="00222638" w:rsidRPr="009342B8">
        <w:rPr>
          <w:rFonts w:hAnsi="Times New Roman" w:cs="Times New Roman"/>
        </w:rPr>
        <w:t xml:space="preserve"> </w:t>
      </w:r>
      <w:r w:rsidR="0012360E" w:rsidRPr="009342B8">
        <w:rPr>
          <w:rFonts w:hAnsi="Times New Roman" w:cs="Times New Roman"/>
        </w:rPr>
        <w:t>preventing an</w:t>
      </w:r>
      <w:r w:rsidR="00B42E00">
        <w:t xml:space="preserve"> employee/inventor </w:t>
      </w:r>
      <w:r w:rsidR="0012360E">
        <w:t>from later</w:t>
      </w:r>
      <w:r w:rsidR="00B42E00">
        <w:t xml:space="preserve"> correct</w:t>
      </w:r>
      <w:r w:rsidR="0012360E">
        <w:t>ing</w:t>
      </w:r>
      <w:r w:rsidR="00222638">
        <w:t xml:space="preserve"> </w:t>
      </w:r>
      <w:r w:rsidR="00B42E00">
        <w:t>inventorship</w:t>
      </w:r>
      <w:r w:rsidR="0012360E">
        <w:t xml:space="preserve"> or</w:t>
      </w:r>
      <w:r w:rsidR="00222638">
        <w:t xml:space="preserve"> </w:t>
      </w:r>
      <w:r w:rsidR="00BE6E3E">
        <w:t>claiming breach of the assignment contract</w:t>
      </w:r>
      <w:r w:rsidR="00222638">
        <w:t xml:space="preserve"> </w:t>
      </w:r>
      <w:r w:rsidR="00BE6E3E">
        <w:t xml:space="preserve">when an </w:t>
      </w:r>
      <w:r w:rsidR="00B42E00">
        <w:t>employer wrongly omits the inventor from patent applications</w:t>
      </w:r>
      <w:r w:rsidR="00BE6E3E">
        <w:t>.</w:t>
      </w:r>
      <w:r w:rsidR="0078726F">
        <w:t xml:space="preserve"> Such a construction </w:t>
      </w:r>
      <w:r w:rsidR="00E5482C">
        <w:t xml:space="preserve">leaves employees </w:t>
      </w:r>
      <w:r w:rsidR="0078726F">
        <w:t>without recourse when stripped not only from ownership but also attribution for their inventions.</w:t>
      </w:r>
      <w:r w:rsidR="00E5482C">
        <w:rPr>
          <w:rStyle w:val="FootnoteReference"/>
        </w:rPr>
        <w:footnoteReference w:id="94"/>
      </w:r>
      <w:r w:rsidR="00E5482C" w:rsidRPr="00E5482C">
        <w:rPr>
          <w:rStyle w:val="FootnoteReference"/>
        </w:rPr>
        <w:t xml:space="preserve"> </w:t>
      </w:r>
    </w:p>
    <w:p w14:paraId="03DAD319" w14:textId="77777777" w:rsidR="007F1F19" w:rsidRPr="00DD1543" w:rsidRDefault="002318AA">
      <w:pPr>
        <w:pStyle w:val="Heading3"/>
        <w:numPr>
          <w:ilvl w:val="2"/>
          <w:numId w:val="10"/>
        </w:numPr>
        <w:rPr>
          <w:color w:val="auto"/>
        </w:rPr>
      </w:pPr>
      <w:bookmarkStart w:id="14" w:name="_Toc399167392"/>
      <w:r w:rsidRPr="00DD1543">
        <w:rPr>
          <w:color w:val="auto"/>
        </w:rPr>
        <w:t>After: Trailer Clauses and the Assignor Estoppel Doctrine</w:t>
      </w:r>
      <w:bookmarkEnd w:id="14"/>
    </w:p>
    <w:p w14:paraId="7CE11941" w14:textId="77777777" w:rsidR="007F1F19" w:rsidRPr="00DD1543" w:rsidRDefault="007F1F19">
      <w:pPr>
        <w:rPr>
          <w:rFonts w:hAnsi="Times New Roman" w:cs="Times New Roman"/>
          <w:color w:val="auto"/>
        </w:rPr>
      </w:pPr>
    </w:p>
    <w:p w14:paraId="6292D523" w14:textId="77777777" w:rsidR="00E54147" w:rsidRDefault="00DE7C0B" w:rsidP="002907E9">
      <w:pPr>
        <w:ind w:firstLine="0"/>
        <w:rPr>
          <w:rFonts w:hAnsi="Times New Roman" w:cs="Times New Roman"/>
          <w:color w:val="auto"/>
        </w:rPr>
      </w:pPr>
      <w:r>
        <w:rPr>
          <w:rFonts w:hAnsi="Times New Roman" w:cs="Times New Roman"/>
          <w:color w:val="auto"/>
        </w:rPr>
        <w:tab/>
      </w:r>
      <w:r w:rsidR="002907E9">
        <w:rPr>
          <w:rFonts w:hAnsi="Times New Roman" w:cs="Times New Roman"/>
          <w:color w:val="auto"/>
        </w:rPr>
        <w:t>An invention assignment trailer clause</w:t>
      </w:r>
      <w:r w:rsidR="002318AA" w:rsidRPr="00DD1543">
        <w:rPr>
          <w:rFonts w:hAnsi="Times New Roman" w:cs="Times New Roman"/>
          <w:color w:val="auto"/>
        </w:rPr>
        <w:t xml:space="preserve"> is designed to ensure a compa</w:t>
      </w:r>
      <w:r w:rsidR="00E54147">
        <w:rPr>
          <w:rFonts w:hAnsi="Times New Roman" w:cs="Times New Roman"/>
          <w:color w:val="auto"/>
        </w:rPr>
        <w:t>ny’s right to future inventions even</w:t>
      </w:r>
      <w:r w:rsidR="002318AA" w:rsidRPr="00DD1543">
        <w:rPr>
          <w:rFonts w:hAnsi="Times New Roman" w:cs="Times New Roman"/>
          <w:color w:val="auto"/>
        </w:rPr>
        <w:t xml:space="preserve"> after the </w:t>
      </w:r>
      <w:r w:rsidR="00E54147">
        <w:rPr>
          <w:rFonts w:hAnsi="Times New Roman" w:cs="Times New Roman"/>
          <w:color w:val="auto"/>
        </w:rPr>
        <w:t xml:space="preserve">departure of the </w:t>
      </w:r>
      <w:r w:rsidR="002318AA" w:rsidRPr="00DD1543">
        <w:rPr>
          <w:rFonts w:hAnsi="Times New Roman" w:cs="Times New Roman"/>
          <w:color w:val="auto"/>
        </w:rPr>
        <w:t>employee. A typical trailer clause states that after the employee leaves her job, her former employer owns any patent filed within a specified period.</w:t>
      </w:r>
      <w:r w:rsidR="002318AA" w:rsidRPr="00DD1543">
        <w:rPr>
          <w:rFonts w:eastAsia="Times New Roman" w:hAnsi="Times New Roman" w:cs="Times New Roman"/>
          <w:color w:val="auto"/>
          <w:vertAlign w:val="superscript"/>
        </w:rPr>
        <w:footnoteReference w:id="95"/>
      </w:r>
      <w:r w:rsidR="00222638">
        <w:rPr>
          <w:rFonts w:hAnsi="Times New Roman" w:cs="Times New Roman"/>
          <w:color w:val="auto"/>
        </w:rPr>
        <w:t xml:space="preserve"> </w:t>
      </w:r>
      <w:r w:rsidR="00E54147">
        <w:rPr>
          <w:rFonts w:hAnsi="Times New Roman" w:cs="Times New Roman"/>
          <w:color w:val="auto"/>
        </w:rPr>
        <w:t>While some states restrict the ability of employers to require such assignment</w:t>
      </w:r>
      <w:r w:rsidR="00222638">
        <w:rPr>
          <w:rFonts w:hAnsi="Times New Roman" w:cs="Times New Roman"/>
          <w:color w:val="auto"/>
        </w:rPr>
        <w:t>s</w:t>
      </w:r>
      <w:r w:rsidR="00E54147">
        <w:rPr>
          <w:rFonts w:hAnsi="Times New Roman" w:cs="Times New Roman"/>
          <w:color w:val="auto"/>
        </w:rPr>
        <w:t xml:space="preserve"> post-employment, most c</w:t>
      </w:r>
      <w:r w:rsidR="002318AA" w:rsidRPr="00DD1543">
        <w:rPr>
          <w:rFonts w:hAnsi="Times New Roman" w:cs="Times New Roman"/>
          <w:color w:val="auto"/>
        </w:rPr>
        <w:t xml:space="preserve">ourts routinely enforce these clauses, except in extreme circumstances in which the trailer clause is unlimited in its time or scope. For example, a trailer clause </w:t>
      </w:r>
      <w:r w:rsidR="00D65D1E">
        <w:rPr>
          <w:rFonts w:hAnsi="Times New Roman" w:cs="Times New Roman"/>
          <w:color w:val="auto"/>
        </w:rPr>
        <w:t xml:space="preserve">that is set </w:t>
      </w:r>
      <w:r w:rsidR="002318AA" w:rsidRPr="00DD1543">
        <w:rPr>
          <w:rFonts w:hAnsi="Times New Roman" w:cs="Times New Roman"/>
          <w:color w:val="auto"/>
        </w:rPr>
        <w:t xml:space="preserve">for an indefinite period of time </w:t>
      </w:r>
      <w:r w:rsidR="00E54147">
        <w:rPr>
          <w:rFonts w:hAnsi="Times New Roman" w:cs="Times New Roman"/>
          <w:color w:val="auto"/>
        </w:rPr>
        <w:t>into the post-employment future,</w:t>
      </w:r>
      <w:r w:rsidR="002318AA" w:rsidRPr="00DD1543">
        <w:rPr>
          <w:rFonts w:hAnsi="Times New Roman" w:cs="Times New Roman"/>
          <w:color w:val="auto"/>
        </w:rPr>
        <w:t xml:space="preserve"> assigning all invention made by the former employees for which the firm might have an interest, is likely to be deemed unreasonable and void.</w:t>
      </w:r>
      <w:r w:rsidR="002318AA" w:rsidRPr="00DD1543">
        <w:rPr>
          <w:rFonts w:eastAsia="Times New Roman" w:hAnsi="Times New Roman" w:cs="Times New Roman"/>
          <w:color w:val="auto"/>
          <w:vertAlign w:val="superscript"/>
        </w:rPr>
        <w:footnoteReference w:id="96"/>
      </w:r>
      <w:r w:rsidR="00222638">
        <w:rPr>
          <w:rFonts w:hAnsi="Times New Roman" w:cs="Times New Roman"/>
          <w:color w:val="auto"/>
        </w:rPr>
        <w:t xml:space="preserve"> </w:t>
      </w:r>
      <w:r w:rsidR="00E54147" w:rsidRPr="006F727D">
        <w:rPr>
          <w:rFonts w:hAnsi="Times New Roman" w:cs="Times New Roman"/>
          <w:color w:val="auto"/>
        </w:rPr>
        <w:t xml:space="preserve">The typical trailer clause, </w:t>
      </w:r>
      <w:r w:rsidR="00E54147" w:rsidRPr="006F727D">
        <w:rPr>
          <w:rFonts w:hAnsi="Times New Roman" w:cs="Times New Roman"/>
          <w:color w:val="auto"/>
        </w:rPr>
        <w:lastRenderedPageBreak/>
        <w:t>limited in time, for example one year post-employment</w:t>
      </w:r>
      <w:r w:rsidR="00DB37B3" w:rsidRPr="006F727D">
        <w:rPr>
          <w:rFonts w:hAnsi="Times New Roman" w:cs="Times New Roman"/>
          <w:color w:val="auto"/>
        </w:rPr>
        <w:t>,</w:t>
      </w:r>
      <w:r w:rsidR="00E54147" w:rsidRPr="006F727D">
        <w:rPr>
          <w:rFonts w:hAnsi="Times New Roman" w:cs="Times New Roman"/>
          <w:color w:val="auto"/>
        </w:rPr>
        <w:t xml:space="preserve"> and in scope, </w:t>
      </w:r>
      <w:r w:rsidR="00491653">
        <w:rPr>
          <w:rFonts w:hAnsi="Times New Roman" w:cs="Times New Roman"/>
          <w:color w:val="auto"/>
        </w:rPr>
        <w:t>for example limiting</w:t>
      </w:r>
      <w:r w:rsidR="00491653" w:rsidRPr="006F727D">
        <w:rPr>
          <w:rFonts w:hAnsi="Times New Roman" w:cs="Times New Roman"/>
          <w:color w:val="auto"/>
        </w:rPr>
        <w:t xml:space="preserve"> </w:t>
      </w:r>
      <w:r w:rsidR="00EF56EC">
        <w:rPr>
          <w:rFonts w:hAnsi="Times New Roman" w:cs="Times New Roman"/>
          <w:color w:val="auto"/>
        </w:rPr>
        <w:t>the ownership</w:t>
      </w:r>
      <w:r w:rsidR="00E54147" w:rsidRPr="006F727D">
        <w:rPr>
          <w:rFonts w:hAnsi="Times New Roman" w:cs="Times New Roman"/>
          <w:color w:val="auto"/>
        </w:rPr>
        <w:t xml:space="preserve"> over future innovation to inventions that relate to the former employer’s business</w:t>
      </w:r>
      <w:r w:rsidR="006F727D" w:rsidRPr="006F727D">
        <w:rPr>
          <w:rFonts w:hAnsi="Times New Roman" w:cs="Times New Roman"/>
          <w:color w:val="auto"/>
        </w:rPr>
        <w:t>,</w:t>
      </w:r>
      <w:r w:rsidR="00E54147" w:rsidRPr="006F727D">
        <w:rPr>
          <w:rFonts w:hAnsi="Times New Roman" w:cs="Times New Roman"/>
          <w:color w:val="auto"/>
        </w:rPr>
        <w:t xml:space="preserve"> </w:t>
      </w:r>
      <w:r w:rsidR="00386E8E">
        <w:rPr>
          <w:rFonts w:hAnsi="Times New Roman" w:cs="Times New Roman"/>
          <w:color w:val="auto"/>
        </w:rPr>
        <w:t>is regularly</w:t>
      </w:r>
      <w:r w:rsidR="00E54147" w:rsidRPr="006F727D">
        <w:rPr>
          <w:rFonts w:hAnsi="Times New Roman" w:cs="Times New Roman"/>
          <w:color w:val="auto"/>
        </w:rPr>
        <w:t xml:space="preserve"> upheld.</w:t>
      </w:r>
      <w:r w:rsidR="002907E9" w:rsidRPr="00DD1543">
        <w:rPr>
          <w:rFonts w:eastAsia="Times New Roman" w:hAnsi="Times New Roman" w:cs="Times New Roman"/>
          <w:color w:val="auto"/>
          <w:shd w:val="clear" w:color="auto" w:fill="FFFFFF"/>
          <w:vertAlign w:val="superscript"/>
        </w:rPr>
        <w:footnoteReference w:id="97"/>
      </w:r>
    </w:p>
    <w:p w14:paraId="360789BD" w14:textId="77777777" w:rsidR="00983341" w:rsidRDefault="00983341" w:rsidP="00C24430">
      <w:pPr>
        <w:ind w:firstLine="720"/>
        <w:rPr>
          <w:rFonts w:hAnsi="Times New Roman" w:cs="Times New Roman"/>
          <w:color w:val="auto"/>
        </w:rPr>
      </w:pPr>
    </w:p>
    <w:p w14:paraId="5A3BF252" w14:textId="77777777" w:rsidR="007F1F19" w:rsidRPr="00DD1543" w:rsidRDefault="00DE7C0B" w:rsidP="002907E9">
      <w:pPr>
        <w:ind w:firstLine="0"/>
        <w:rPr>
          <w:rFonts w:hAnsi="Times New Roman" w:cs="Times New Roman"/>
          <w:color w:val="auto"/>
        </w:rPr>
      </w:pPr>
      <w:r>
        <w:rPr>
          <w:rFonts w:hAnsi="Times New Roman" w:cs="Times New Roman"/>
          <w:color w:val="auto"/>
        </w:rPr>
        <w:tab/>
      </w:r>
      <w:r w:rsidR="00E54147" w:rsidRPr="00DD1543">
        <w:rPr>
          <w:rFonts w:hAnsi="Times New Roman" w:cs="Times New Roman"/>
          <w:color w:val="auto"/>
        </w:rPr>
        <w:t xml:space="preserve">Like other cognitive controls, </w:t>
      </w:r>
      <w:r w:rsidR="00E10973">
        <w:rPr>
          <w:rFonts w:hAnsi="Times New Roman" w:cs="Times New Roman"/>
          <w:color w:val="auto"/>
        </w:rPr>
        <w:t>the benefits, legitimacy, enforceability, and scope of</w:t>
      </w:r>
      <w:r w:rsidR="00E54147" w:rsidRPr="00DD1543">
        <w:rPr>
          <w:rFonts w:hAnsi="Times New Roman" w:cs="Times New Roman"/>
          <w:color w:val="auto"/>
        </w:rPr>
        <w:t xml:space="preserve"> trailer clauses</w:t>
      </w:r>
      <w:r w:rsidR="004565D8">
        <w:rPr>
          <w:rFonts w:hAnsi="Times New Roman" w:cs="Times New Roman"/>
          <w:color w:val="auto"/>
        </w:rPr>
        <w:t xml:space="preserve"> are questionable</w:t>
      </w:r>
      <w:r w:rsidR="00E54147" w:rsidRPr="00DD1543">
        <w:rPr>
          <w:rFonts w:hAnsi="Times New Roman" w:cs="Times New Roman"/>
          <w:color w:val="auto"/>
        </w:rPr>
        <w:t xml:space="preserve">. </w:t>
      </w:r>
      <w:r w:rsidR="004565D8">
        <w:rPr>
          <w:rFonts w:hAnsi="Times New Roman" w:cs="Times New Roman"/>
          <w:color w:val="auto"/>
        </w:rPr>
        <w:t>S</w:t>
      </w:r>
      <w:r w:rsidR="00E54147">
        <w:rPr>
          <w:rFonts w:hAnsi="Times New Roman" w:cs="Times New Roman"/>
          <w:color w:val="auto"/>
        </w:rPr>
        <w:t>imilar to other forms of cognitive controls,</w:t>
      </w:r>
      <w:r w:rsidR="00E10973">
        <w:rPr>
          <w:rFonts w:hAnsi="Times New Roman" w:cs="Times New Roman"/>
          <w:color w:val="auto"/>
        </w:rPr>
        <w:t xml:space="preserve"> </w:t>
      </w:r>
      <w:r w:rsidR="00DB37B3">
        <w:rPr>
          <w:rFonts w:hAnsi="Times New Roman" w:cs="Times New Roman"/>
          <w:color w:val="auto"/>
        </w:rPr>
        <w:t xml:space="preserve">firms seek </w:t>
      </w:r>
      <w:r w:rsidR="00E54147" w:rsidRPr="00DD1543">
        <w:rPr>
          <w:rFonts w:hAnsi="Times New Roman" w:cs="Times New Roman"/>
          <w:color w:val="auto"/>
          <w:shd w:val="clear" w:color="auto" w:fill="FFFFFF"/>
        </w:rPr>
        <w:t xml:space="preserve">to obtain </w:t>
      </w:r>
      <w:r w:rsidR="000E050B">
        <w:rPr>
          <w:rFonts w:hAnsi="Times New Roman" w:cs="Times New Roman"/>
          <w:color w:val="auto"/>
          <w:shd w:val="clear" w:color="auto" w:fill="FFFFFF"/>
        </w:rPr>
        <w:t>“</w:t>
      </w:r>
      <w:r w:rsidR="00E54147" w:rsidRPr="00DD1543">
        <w:rPr>
          <w:rFonts w:hAnsi="Times New Roman" w:cs="Times New Roman"/>
          <w:color w:val="auto"/>
          <w:shd w:val="clear" w:color="auto" w:fill="FFFFFF"/>
        </w:rPr>
        <w:t>more protection than the common law affords”</w:t>
      </w:r>
      <w:r w:rsidR="00DB37B3">
        <w:rPr>
          <w:rFonts w:hAnsi="Times New Roman" w:cs="Times New Roman"/>
          <w:color w:val="auto"/>
          <w:shd w:val="clear" w:color="auto" w:fill="FFFFFF"/>
        </w:rPr>
        <w:t xml:space="preserve"> by using trailer clauses</w:t>
      </w:r>
      <w:r w:rsidR="00E54147" w:rsidRPr="00DD1543">
        <w:rPr>
          <w:rFonts w:hAnsi="Times New Roman" w:cs="Times New Roman"/>
          <w:color w:val="auto"/>
          <w:shd w:val="clear" w:color="auto" w:fill="FFFFFF"/>
        </w:rPr>
        <w:t>.</w:t>
      </w:r>
      <w:r w:rsidR="00E54147" w:rsidRPr="00DD1543">
        <w:rPr>
          <w:rFonts w:eastAsia="Times New Roman" w:hAnsi="Times New Roman" w:cs="Times New Roman"/>
          <w:color w:val="auto"/>
          <w:shd w:val="clear" w:color="auto" w:fill="FFFFFF"/>
          <w:vertAlign w:val="superscript"/>
        </w:rPr>
        <w:footnoteReference w:id="98"/>
      </w:r>
      <w:r w:rsidR="00E54147">
        <w:rPr>
          <w:rFonts w:hAnsi="Times New Roman" w:cs="Times New Roman"/>
          <w:color w:val="auto"/>
        </w:rPr>
        <w:t xml:space="preserve"> The result is</w:t>
      </w:r>
      <w:r w:rsidR="002318AA" w:rsidRPr="00DD1543">
        <w:rPr>
          <w:rFonts w:hAnsi="Times New Roman" w:cs="Times New Roman"/>
          <w:color w:val="auto"/>
        </w:rPr>
        <w:t xml:space="preserve"> a penalty on former employees</w:t>
      </w:r>
      <w:r w:rsidR="00E10973">
        <w:rPr>
          <w:rFonts w:hAnsi="Times New Roman" w:cs="Times New Roman"/>
          <w:color w:val="auto"/>
        </w:rPr>
        <w:t xml:space="preserve"> and their new </w:t>
      </w:r>
      <w:r w:rsidR="004565D8">
        <w:rPr>
          <w:rFonts w:hAnsi="Times New Roman" w:cs="Times New Roman"/>
          <w:color w:val="auto"/>
        </w:rPr>
        <w:t>employers if</w:t>
      </w:r>
      <w:r w:rsidR="002318AA" w:rsidRPr="00DD1543">
        <w:rPr>
          <w:rFonts w:hAnsi="Times New Roman" w:cs="Times New Roman"/>
          <w:color w:val="auto"/>
        </w:rPr>
        <w:t xml:space="preserve"> they wish to compete with their former firm. As such, they should be viewed as</w:t>
      </w:r>
      <w:r w:rsidR="002907E9">
        <w:rPr>
          <w:rFonts w:hAnsi="Times New Roman" w:cs="Times New Roman"/>
          <w:color w:val="auto"/>
        </w:rPr>
        <w:t xml:space="preserve"> a</w:t>
      </w:r>
      <w:r w:rsidR="002318AA" w:rsidRPr="00DD1543">
        <w:rPr>
          <w:rFonts w:hAnsi="Times New Roman" w:cs="Times New Roman"/>
          <w:color w:val="auto"/>
        </w:rPr>
        <w:t xml:space="preserve"> </w:t>
      </w:r>
      <w:r w:rsidR="002907E9">
        <w:rPr>
          <w:rFonts w:hAnsi="Times New Roman" w:cs="Times New Roman"/>
          <w:color w:val="auto"/>
        </w:rPr>
        <w:t>post-employment restriction</w:t>
      </w:r>
      <w:r w:rsidR="002318AA" w:rsidRPr="00DD1543">
        <w:rPr>
          <w:rFonts w:hAnsi="Times New Roman" w:cs="Times New Roman"/>
          <w:color w:val="auto"/>
        </w:rPr>
        <w:t xml:space="preserve"> much like an absolute non-compete</w:t>
      </w:r>
      <w:r w:rsidR="002907E9">
        <w:rPr>
          <w:rFonts w:hAnsi="Times New Roman" w:cs="Times New Roman"/>
          <w:color w:val="auto"/>
        </w:rPr>
        <w:t xml:space="preserve">. </w:t>
      </w:r>
      <w:r w:rsidR="00E54147" w:rsidRPr="00DD1543">
        <w:rPr>
          <w:rFonts w:hAnsi="Times New Roman" w:cs="Times New Roman"/>
          <w:color w:val="auto"/>
        </w:rPr>
        <w:t>As Robert Merges has described, trailer clauses “are best seen as particular applications of post-employment covenants not to compete, which have long represented a suspect class of obligations and are often voided under common-law restraint of trade principles.”</w:t>
      </w:r>
      <w:r w:rsidR="00E54147" w:rsidRPr="00DD1543">
        <w:rPr>
          <w:rFonts w:eastAsia="Times New Roman" w:hAnsi="Times New Roman" w:cs="Times New Roman"/>
          <w:color w:val="auto"/>
          <w:vertAlign w:val="superscript"/>
        </w:rPr>
        <w:footnoteReference w:id="99"/>
      </w:r>
      <w:r w:rsidR="00E54147">
        <w:rPr>
          <w:rFonts w:hAnsi="Times New Roman" w:cs="Times New Roman"/>
          <w:color w:val="auto"/>
        </w:rPr>
        <w:t xml:space="preserve"> Once again</w:t>
      </w:r>
      <w:r w:rsidR="00C45367">
        <w:rPr>
          <w:rFonts w:hAnsi="Times New Roman" w:cs="Times New Roman"/>
          <w:color w:val="auto"/>
        </w:rPr>
        <w:t>,</w:t>
      </w:r>
      <w:r w:rsidR="00E54147" w:rsidRPr="00DD1543">
        <w:rPr>
          <w:rFonts w:hAnsi="Times New Roman" w:cs="Times New Roman"/>
          <w:color w:val="auto"/>
        </w:rPr>
        <w:t xml:space="preserve"> the bargain reached in intellectual property is subverted by contractual arrangements purposely designed to give the firm ownership over innovation that would</w:t>
      </w:r>
      <w:r w:rsidR="00C45367">
        <w:rPr>
          <w:rFonts w:hAnsi="Times New Roman" w:cs="Times New Roman"/>
          <w:color w:val="auto"/>
        </w:rPr>
        <w:t>,</w:t>
      </w:r>
      <w:r w:rsidR="00E54147" w:rsidRPr="00DD1543">
        <w:rPr>
          <w:rFonts w:hAnsi="Times New Roman" w:cs="Times New Roman"/>
          <w:color w:val="auto"/>
        </w:rPr>
        <w:t xml:space="preserve"> by default</w:t>
      </w:r>
      <w:r w:rsidR="00C45367">
        <w:rPr>
          <w:rFonts w:hAnsi="Times New Roman" w:cs="Times New Roman"/>
          <w:color w:val="auto"/>
        </w:rPr>
        <w:t>,</w:t>
      </w:r>
      <w:r w:rsidR="00E54147" w:rsidRPr="00DD1543">
        <w:rPr>
          <w:rFonts w:hAnsi="Times New Roman" w:cs="Times New Roman"/>
          <w:color w:val="auto"/>
        </w:rPr>
        <w:t xml:space="preserve"> belong to its former employees.</w:t>
      </w:r>
      <w:r w:rsidR="003E682B">
        <w:rPr>
          <w:rStyle w:val="FootnoteReference"/>
          <w:rFonts w:hAnsi="Times New Roman" w:cs="Times New Roman"/>
          <w:color w:val="auto"/>
        </w:rPr>
        <w:footnoteReference w:id="100"/>
      </w:r>
    </w:p>
    <w:p w14:paraId="48CC2BC0" w14:textId="77777777" w:rsidR="00E54147" w:rsidRDefault="00E54147" w:rsidP="00E4735B">
      <w:pPr>
        <w:rPr>
          <w:rFonts w:hAnsi="Times New Roman" w:cs="Times New Roman"/>
          <w:color w:val="auto"/>
        </w:rPr>
      </w:pPr>
    </w:p>
    <w:p w14:paraId="5BB7372B" w14:textId="6D96A648" w:rsidR="00956FBB" w:rsidRDefault="008F2944" w:rsidP="00956FBB">
      <w:pPr>
        <w:ind w:firstLine="0"/>
        <w:rPr>
          <w:rFonts w:hAnsi="Times New Roman" w:cs="Times New Roman"/>
          <w:color w:val="auto"/>
          <w:shd w:val="clear" w:color="auto" w:fill="FFFFFF"/>
        </w:rPr>
      </w:pPr>
      <w:r>
        <w:rPr>
          <w:rFonts w:hAnsi="Times New Roman" w:cs="Times New Roman"/>
          <w:color w:val="auto"/>
        </w:rPr>
        <w:tab/>
      </w:r>
      <w:r w:rsidR="00E4735B" w:rsidRPr="00E10973">
        <w:rPr>
          <w:rFonts w:hAnsi="Times New Roman" w:cs="Times New Roman"/>
          <w:color w:val="auto"/>
        </w:rPr>
        <w:t>In a recent case</w:t>
      </w:r>
      <w:r w:rsidR="00E4735B" w:rsidRPr="00AB3561">
        <w:rPr>
          <w:rFonts w:eastAsia="Times New Roman" w:hAnsi="Times New Roman" w:cs="Times New Roman"/>
          <w:color w:val="auto"/>
          <w:bdr w:val="none" w:sz="0" w:space="0" w:color="auto"/>
          <w:lang w:bidi="he-IL"/>
        </w:rPr>
        <w:t xml:space="preserve">, a research scientist at Milliken resigned </w:t>
      </w:r>
      <w:r w:rsidR="00E10973">
        <w:rPr>
          <w:rFonts w:eastAsia="Times New Roman" w:hAnsi="Times New Roman" w:cs="Times New Roman"/>
          <w:color w:val="auto"/>
          <w:bdr w:val="none" w:sz="0" w:space="0" w:color="auto"/>
          <w:lang w:bidi="he-IL"/>
        </w:rPr>
        <w:t>and</w:t>
      </w:r>
      <w:r w:rsidR="00E10973" w:rsidRPr="00AB3561">
        <w:rPr>
          <w:rFonts w:eastAsia="Times New Roman" w:hAnsi="Times New Roman" w:cs="Times New Roman"/>
          <w:color w:val="auto"/>
          <w:bdr w:val="none" w:sz="0" w:space="0" w:color="auto"/>
          <w:lang w:bidi="he-IL"/>
        </w:rPr>
        <w:t xml:space="preserve"> </w:t>
      </w:r>
      <w:r w:rsidR="00E4735B" w:rsidRPr="00AB3561">
        <w:rPr>
          <w:rFonts w:eastAsia="Times New Roman" w:hAnsi="Times New Roman" w:cs="Times New Roman"/>
          <w:color w:val="auto"/>
          <w:bdr w:val="none" w:sz="0" w:space="0" w:color="auto"/>
          <w:lang w:bidi="he-IL"/>
        </w:rPr>
        <w:t>start</w:t>
      </w:r>
      <w:r w:rsidR="00E10973">
        <w:rPr>
          <w:rFonts w:eastAsia="Times New Roman" w:hAnsi="Times New Roman" w:cs="Times New Roman"/>
          <w:color w:val="auto"/>
          <w:bdr w:val="none" w:sz="0" w:space="0" w:color="auto"/>
          <w:lang w:bidi="he-IL"/>
        </w:rPr>
        <w:t>ed</w:t>
      </w:r>
      <w:r w:rsidR="00E4735B" w:rsidRPr="00AB3561">
        <w:rPr>
          <w:rFonts w:eastAsia="Times New Roman" w:hAnsi="Times New Roman" w:cs="Times New Roman"/>
          <w:color w:val="auto"/>
          <w:bdr w:val="none" w:sz="0" w:space="0" w:color="auto"/>
          <w:lang w:bidi="he-IL"/>
        </w:rPr>
        <w:t xml:space="preserve"> a new company.</w:t>
      </w:r>
      <w:r w:rsidR="00E4735B" w:rsidRPr="00AB3561">
        <w:rPr>
          <w:rStyle w:val="FootnoteReference"/>
          <w:rFonts w:eastAsia="Times New Roman" w:hAnsi="Times New Roman" w:cs="Times New Roman"/>
          <w:color w:val="auto"/>
          <w:bdr w:val="none" w:sz="0" w:space="0" w:color="auto"/>
          <w:lang w:bidi="he-IL"/>
        </w:rPr>
        <w:footnoteReference w:id="101"/>
      </w:r>
      <w:r w:rsidR="00E4735B" w:rsidRPr="00AB3561">
        <w:rPr>
          <w:rFonts w:eastAsia="Times New Roman" w:hAnsi="Times New Roman" w:cs="Times New Roman"/>
          <w:color w:val="auto"/>
          <w:bdr w:val="none" w:sz="0" w:space="0" w:color="auto"/>
          <w:lang w:bidi="he-IL"/>
        </w:rPr>
        <w:t xml:space="preserve"> </w:t>
      </w:r>
      <w:r w:rsidR="00176B9B">
        <w:rPr>
          <w:rFonts w:eastAsia="Times New Roman" w:hAnsi="Times New Roman" w:cs="Times New Roman"/>
          <w:color w:val="auto"/>
          <w:bdr w:val="none" w:sz="0" w:space="0" w:color="auto"/>
          <w:lang w:bidi="he-IL"/>
        </w:rPr>
        <w:t>While working for Milliken, t</w:t>
      </w:r>
      <w:r w:rsidR="00E4735B" w:rsidRPr="00AB3561">
        <w:rPr>
          <w:rFonts w:eastAsia="Times New Roman" w:hAnsi="Times New Roman" w:cs="Times New Roman"/>
          <w:color w:val="auto"/>
          <w:bdr w:val="none" w:sz="0" w:space="0" w:color="auto"/>
          <w:lang w:bidi="he-IL"/>
        </w:rPr>
        <w:t>he scientist developed an idea for a new type of fiber</w:t>
      </w:r>
      <w:r w:rsidR="00D33E1E" w:rsidRPr="00AB3561">
        <w:rPr>
          <w:rFonts w:eastAsia="Times New Roman" w:hAnsi="Times New Roman" w:cs="Times New Roman"/>
          <w:color w:val="auto"/>
          <w:bdr w:val="none" w:sz="0" w:space="0" w:color="auto"/>
          <w:lang w:bidi="he-IL"/>
        </w:rPr>
        <w:t>.</w:t>
      </w:r>
      <w:r w:rsidR="00E10973">
        <w:rPr>
          <w:rFonts w:eastAsia="Times New Roman" w:hAnsi="Times New Roman" w:cs="Times New Roman"/>
          <w:color w:val="auto"/>
          <w:bdr w:val="none" w:sz="0" w:space="0" w:color="auto"/>
          <w:lang w:bidi="he-IL"/>
        </w:rPr>
        <w:t xml:space="preserve"> </w:t>
      </w:r>
      <w:r w:rsidR="00D33E1E" w:rsidRPr="00AB3561">
        <w:rPr>
          <w:rFonts w:eastAsia="Times New Roman" w:hAnsi="Times New Roman" w:cs="Times New Roman"/>
          <w:color w:val="auto"/>
          <w:bdr w:val="none" w:sz="0" w:space="0" w:color="auto"/>
          <w:lang w:bidi="he-IL"/>
        </w:rPr>
        <w:t>I</w:t>
      </w:r>
      <w:r w:rsidR="00E4735B" w:rsidRPr="00AB3561">
        <w:rPr>
          <w:rFonts w:eastAsia="Times New Roman" w:hAnsi="Times New Roman" w:cs="Times New Roman"/>
          <w:color w:val="auto"/>
          <w:bdr w:val="none" w:sz="0" w:space="0" w:color="auto"/>
          <w:lang w:bidi="he-IL"/>
        </w:rPr>
        <w:t>n the months following his resignation</w:t>
      </w:r>
      <w:r w:rsidR="00D33E1E" w:rsidRPr="00AB3561">
        <w:rPr>
          <w:rFonts w:eastAsia="Times New Roman" w:hAnsi="Times New Roman" w:cs="Times New Roman"/>
          <w:color w:val="auto"/>
          <w:bdr w:val="none" w:sz="0" w:space="0" w:color="auto"/>
          <w:lang w:bidi="he-IL"/>
        </w:rPr>
        <w:t>,</w:t>
      </w:r>
      <w:r w:rsidR="00E4735B" w:rsidRPr="00AB3561">
        <w:rPr>
          <w:rFonts w:eastAsia="Times New Roman" w:hAnsi="Times New Roman" w:cs="Times New Roman"/>
          <w:color w:val="auto"/>
          <w:bdr w:val="none" w:sz="0" w:space="0" w:color="auto"/>
          <w:lang w:bidi="he-IL"/>
        </w:rPr>
        <w:t xml:space="preserve"> he continued to contemplate his idea</w:t>
      </w:r>
      <w:r w:rsidR="00FB4DA1" w:rsidRPr="00AB3561">
        <w:rPr>
          <w:rFonts w:eastAsia="Times New Roman" w:hAnsi="Times New Roman" w:cs="Times New Roman"/>
          <w:color w:val="auto"/>
          <w:bdr w:val="none" w:sz="0" w:space="0" w:color="auto"/>
          <w:lang w:bidi="he-IL"/>
        </w:rPr>
        <w:t>, which led</w:t>
      </w:r>
      <w:r w:rsidR="00E4735B" w:rsidRPr="00AB3561">
        <w:rPr>
          <w:rFonts w:eastAsia="Times New Roman" w:hAnsi="Times New Roman" w:cs="Times New Roman"/>
          <w:color w:val="auto"/>
          <w:bdr w:val="none" w:sz="0" w:space="0" w:color="auto"/>
          <w:lang w:bidi="he-IL"/>
        </w:rPr>
        <w:t xml:space="preserve"> to his invention of a new fiber. Milliken alleged it owned the rights to the new fiber. The scientist had signed an assignment agreement when he began his employment at Milliken stating that any inventions by the scientist, patentable or not, relating to Milliken’s business or research or resulting from work he performed for the company during his employment were the property of Milliken. The </w:t>
      </w:r>
      <w:r w:rsidR="00E4735B" w:rsidRPr="00AB3561">
        <w:rPr>
          <w:rFonts w:eastAsia="Times New Roman" w:hAnsi="Times New Roman" w:cs="Times New Roman"/>
          <w:color w:val="auto"/>
          <w:bdr w:val="none" w:sz="0" w:space="0" w:color="auto"/>
          <w:lang w:bidi="he-IL"/>
        </w:rPr>
        <w:lastRenderedPageBreak/>
        <w:t xml:space="preserve">assignment clause had a holdover provision </w:t>
      </w:r>
      <w:r w:rsidR="00E10973">
        <w:rPr>
          <w:rFonts w:eastAsia="Times New Roman" w:hAnsi="Times New Roman" w:cs="Times New Roman"/>
          <w:color w:val="auto"/>
          <w:bdr w:val="none" w:sz="0" w:space="0" w:color="auto"/>
          <w:lang w:bidi="he-IL"/>
        </w:rPr>
        <w:t>stating</w:t>
      </w:r>
      <w:r w:rsidR="00E4735B" w:rsidRPr="00AB3561">
        <w:rPr>
          <w:rFonts w:eastAsia="Times New Roman" w:hAnsi="Times New Roman" w:cs="Times New Roman"/>
          <w:color w:val="auto"/>
          <w:bdr w:val="none" w:sz="0" w:space="0" w:color="auto"/>
          <w:lang w:bidi="he-IL"/>
        </w:rPr>
        <w:t xml:space="preserve"> that such inventions developed within one year after termination of employment also belonged to Milliken. The scientist argued</w:t>
      </w:r>
      <w:r w:rsidR="00624947">
        <w:rPr>
          <w:rFonts w:eastAsia="Times New Roman" w:hAnsi="Times New Roman" w:cs="Times New Roman"/>
          <w:color w:val="auto"/>
          <w:bdr w:val="none" w:sz="0" w:space="0" w:color="auto"/>
          <w:lang w:bidi="he-IL"/>
        </w:rPr>
        <w:t xml:space="preserve"> that</w:t>
      </w:r>
      <w:r w:rsidR="00E4735B" w:rsidRPr="00AB3561">
        <w:rPr>
          <w:rFonts w:eastAsia="Times New Roman" w:hAnsi="Times New Roman" w:cs="Times New Roman"/>
          <w:color w:val="auto"/>
          <w:bdr w:val="none" w:sz="0" w:space="0" w:color="auto"/>
          <w:lang w:bidi="he-IL"/>
        </w:rPr>
        <w:t xml:space="preserve"> these covenants were invalid because they were legally equivalent to non-compete agreements and created an unlawful restrain</w:t>
      </w:r>
      <w:r w:rsidR="00C26ABB">
        <w:rPr>
          <w:rFonts w:eastAsia="Times New Roman" w:hAnsi="Times New Roman" w:cs="Times New Roman"/>
          <w:color w:val="auto"/>
          <w:bdr w:val="none" w:sz="0" w:space="0" w:color="auto"/>
          <w:lang w:bidi="he-IL"/>
        </w:rPr>
        <w:t>t</w:t>
      </w:r>
      <w:r w:rsidR="00E4735B" w:rsidRPr="00AB3561">
        <w:rPr>
          <w:rFonts w:eastAsia="Times New Roman" w:hAnsi="Times New Roman" w:cs="Times New Roman"/>
          <w:color w:val="auto"/>
          <w:bdr w:val="none" w:sz="0" w:space="0" w:color="auto"/>
          <w:lang w:bidi="he-IL"/>
        </w:rPr>
        <w:t xml:space="preserve"> on trade. The South Carolina Supreme Court affirmed a jury verdict for Milliken, ruling that holdover invention assignment agreements “do not operate in restraint of the employee’s trade but merely vest ownership of an invention with the entity which ought to have it.”</w:t>
      </w:r>
      <w:r w:rsidR="00956FBB">
        <w:rPr>
          <w:rStyle w:val="FootnoteReference"/>
          <w:rFonts w:eastAsia="Times New Roman" w:hAnsi="Times New Roman" w:cs="Times New Roman"/>
          <w:color w:val="auto"/>
          <w:bdr w:val="none" w:sz="0" w:space="0" w:color="auto"/>
          <w:lang w:bidi="he-IL"/>
        </w:rPr>
        <w:footnoteReference w:id="102"/>
      </w:r>
      <w:r w:rsidR="00E4735B" w:rsidRPr="00AB3561">
        <w:rPr>
          <w:rFonts w:eastAsia="Times New Roman" w:hAnsi="Times New Roman" w:cs="Times New Roman"/>
          <w:color w:val="auto"/>
          <w:bdr w:val="none" w:sz="0" w:space="0" w:color="auto"/>
          <w:lang w:bidi="he-IL"/>
        </w:rPr>
        <w:t xml:space="preserve"> While the court nodded to the idea that holdover clauses should be examined to ensure that they do</w:t>
      </w:r>
      <w:r w:rsidR="00552B0E" w:rsidRPr="00AB3561">
        <w:rPr>
          <w:rFonts w:eastAsia="Times New Roman" w:hAnsi="Times New Roman" w:cs="Times New Roman"/>
          <w:color w:val="auto"/>
          <w:bdr w:val="none" w:sz="0" w:space="0" w:color="auto"/>
          <w:lang w:bidi="he-IL"/>
        </w:rPr>
        <w:t xml:space="preserve"> not</w:t>
      </w:r>
      <w:r w:rsidR="00E4735B" w:rsidRPr="00AB3561">
        <w:rPr>
          <w:rFonts w:eastAsia="Times New Roman" w:hAnsi="Times New Roman" w:cs="Times New Roman"/>
          <w:color w:val="auto"/>
          <w:bdr w:val="none" w:sz="0" w:space="0" w:color="auto"/>
          <w:lang w:bidi="he-IL"/>
        </w:rPr>
        <w:t xml:space="preserve"> “curtail the employee’s ability to earn a living</w:t>
      </w:r>
      <w:r w:rsidR="00552B0E" w:rsidRPr="00AB3561">
        <w:rPr>
          <w:rFonts w:eastAsia="Times New Roman" w:hAnsi="Times New Roman" w:cs="Times New Roman"/>
          <w:color w:val="auto"/>
          <w:bdr w:val="none" w:sz="0" w:space="0" w:color="auto"/>
          <w:lang w:bidi="he-IL"/>
        </w:rPr>
        <w:t>,</w:t>
      </w:r>
      <w:r w:rsidR="00E4735B" w:rsidRPr="00AB3561">
        <w:rPr>
          <w:rFonts w:eastAsia="Times New Roman" w:hAnsi="Times New Roman" w:cs="Times New Roman"/>
          <w:color w:val="auto"/>
          <w:bdr w:val="none" w:sz="0" w:space="0" w:color="auto"/>
          <w:lang w:bidi="he-IL"/>
        </w:rPr>
        <w:t>” the court held that the one-year holdover was “eminently reasonable” because the invention was related to his former employer’s business.</w:t>
      </w:r>
      <w:r w:rsidR="00956FBB">
        <w:rPr>
          <w:rFonts w:eastAsia="Times New Roman" w:hAnsi="Times New Roman" w:cs="Times New Roman"/>
          <w:color w:val="auto"/>
          <w:bdr w:val="none" w:sz="0" w:space="0" w:color="auto"/>
          <w:lang w:bidi="he-IL"/>
        </w:rPr>
        <w:t xml:space="preserve"> Yet, w</w:t>
      </w:r>
      <w:r w:rsidR="00956FBB" w:rsidRPr="00DD1543">
        <w:rPr>
          <w:rFonts w:hAnsi="Times New Roman" w:cs="Times New Roman"/>
          <w:color w:val="auto"/>
          <w:shd w:val="clear" w:color="auto" w:fill="FFFFFF"/>
        </w:rPr>
        <w:t>hile a trailer clause does not prohibit an inventive employee from working for a competitor</w:t>
      </w:r>
      <w:r w:rsidR="00956FBB">
        <w:rPr>
          <w:rFonts w:hAnsi="Times New Roman" w:cs="Times New Roman"/>
          <w:color w:val="auto"/>
          <w:shd w:val="clear" w:color="auto" w:fill="FFFFFF"/>
        </w:rPr>
        <w:t xml:space="preserve"> in absolute language:</w:t>
      </w:r>
    </w:p>
    <w:p w14:paraId="1ECC6555" w14:textId="77777777" w:rsidR="00956FBB" w:rsidRDefault="00956FBB" w:rsidP="00956FBB">
      <w:pPr>
        <w:ind w:left="720" w:firstLine="0"/>
        <w:rPr>
          <w:rFonts w:hAnsi="Times New Roman" w:cs="Times New Roman"/>
          <w:color w:val="auto"/>
          <w:shd w:val="clear" w:color="auto" w:fill="FFFFFF"/>
        </w:rPr>
      </w:pPr>
    </w:p>
    <w:p w14:paraId="22583942" w14:textId="77777777" w:rsidR="00956FBB" w:rsidRDefault="00956FBB" w:rsidP="00956FBB">
      <w:pPr>
        <w:ind w:left="720" w:firstLine="0"/>
        <w:rPr>
          <w:rFonts w:hAnsi="Times New Roman" w:cs="Times New Roman"/>
          <w:color w:val="auto"/>
          <w:shd w:val="clear" w:color="auto" w:fill="FFFFFF"/>
        </w:rPr>
      </w:pPr>
      <w:r>
        <w:rPr>
          <w:rFonts w:hAnsi="Times New Roman" w:cs="Times New Roman"/>
          <w:color w:val="auto"/>
          <w:shd w:val="clear" w:color="auto" w:fill="FFFFFF"/>
        </w:rPr>
        <w:t>B</w:t>
      </w:r>
      <w:r w:rsidRPr="00DD1543">
        <w:rPr>
          <w:rFonts w:hAnsi="Times New Roman" w:cs="Times New Roman"/>
          <w:color w:val="auto"/>
          <w:shd w:val="clear" w:color="auto" w:fill="FFFFFF"/>
        </w:rPr>
        <w:t>usiness competitors do not desire to hire individuals obligated under such a clause because the work product of such employees may not accrue to the new employer's benefit. At best, employers that hire inventive employees obligated under such agreements will under-utilize the employees' inventive skills so as not to develop conflicts with prior trailer clauses.</w:t>
      </w:r>
      <w:r w:rsidRPr="00DD1543">
        <w:rPr>
          <w:rFonts w:hAnsi="Times New Roman" w:cs="Times New Roman"/>
          <w:color w:val="auto"/>
          <w:shd w:val="clear" w:color="auto" w:fill="FFFFFF"/>
          <w:vertAlign w:val="superscript"/>
        </w:rPr>
        <w:footnoteReference w:id="103"/>
      </w:r>
    </w:p>
    <w:p w14:paraId="2D99687A" w14:textId="77777777" w:rsidR="00E4735B" w:rsidRDefault="00E4735B">
      <w:pPr>
        <w:rPr>
          <w:rFonts w:hAnsi="Times New Roman" w:cs="Times New Roman"/>
          <w:color w:val="auto"/>
        </w:rPr>
      </w:pPr>
    </w:p>
    <w:p w14:paraId="7149DF71" w14:textId="3158221D" w:rsidR="00956FBB" w:rsidRPr="00DD1543" w:rsidRDefault="0077596E" w:rsidP="004C77B5">
      <w:pPr>
        <w:ind w:firstLine="0"/>
        <w:rPr>
          <w:rFonts w:hAnsi="Times New Roman" w:cs="Times New Roman"/>
          <w:color w:val="auto"/>
        </w:rPr>
      </w:pPr>
      <w:r>
        <w:rPr>
          <w:rFonts w:hAnsi="Times New Roman" w:cs="Times New Roman"/>
          <w:color w:val="auto"/>
        </w:rPr>
        <w:tab/>
      </w:r>
      <w:r w:rsidR="00956FBB" w:rsidRPr="009071B5">
        <w:rPr>
          <w:rFonts w:hAnsi="Times New Roman" w:cs="Times New Roman"/>
          <w:color w:val="auto"/>
        </w:rPr>
        <w:t>Operating similarly to a trailer clause</w:t>
      </w:r>
      <w:r w:rsidR="009071B5" w:rsidRPr="009071B5">
        <w:rPr>
          <w:rFonts w:hAnsi="Times New Roman" w:cs="Times New Roman"/>
          <w:color w:val="auto"/>
        </w:rPr>
        <w:t>, the assignor estoppel doctrine,</w:t>
      </w:r>
      <w:r w:rsidR="00956FBB" w:rsidRPr="009071B5">
        <w:rPr>
          <w:rFonts w:hAnsi="Times New Roman" w:cs="Times New Roman"/>
          <w:color w:val="auto"/>
        </w:rPr>
        <w:t xml:space="preserve"> </w:t>
      </w:r>
      <w:r w:rsidR="00842B8C">
        <w:rPr>
          <w:rFonts w:hAnsi="Times New Roman" w:cs="Times New Roman"/>
          <w:color w:val="auto"/>
        </w:rPr>
        <w:t>a</w:t>
      </w:r>
      <w:r w:rsidR="00842B8C" w:rsidRPr="009071B5">
        <w:rPr>
          <w:rFonts w:hAnsi="Times New Roman" w:cs="Times New Roman"/>
          <w:color w:val="auto"/>
        </w:rPr>
        <w:t xml:space="preserve"> </w:t>
      </w:r>
      <w:r w:rsidR="00956FBB" w:rsidRPr="009071B5">
        <w:rPr>
          <w:rFonts w:hAnsi="Times New Roman" w:cs="Times New Roman"/>
          <w:color w:val="auto"/>
        </w:rPr>
        <w:t>recently developed doctrine in patent law,</w:t>
      </w:r>
      <w:r w:rsidR="009071B5" w:rsidRPr="009071B5">
        <w:rPr>
          <w:rFonts w:hAnsi="Times New Roman" w:cs="Times New Roman"/>
          <w:color w:val="auto"/>
        </w:rPr>
        <w:t xml:space="preserve"> </w:t>
      </w:r>
      <w:r w:rsidR="004C77B5">
        <w:rPr>
          <w:rFonts w:hAnsi="Times New Roman" w:cs="Times New Roman"/>
          <w:color w:val="auto"/>
        </w:rPr>
        <w:t>constitutes</w:t>
      </w:r>
      <w:r w:rsidR="00956FBB" w:rsidRPr="009071B5">
        <w:rPr>
          <w:rFonts w:hAnsi="Times New Roman" w:cs="Times New Roman"/>
          <w:color w:val="auto"/>
        </w:rPr>
        <w:t xml:space="preserve"> a post-employment restriction over the cognitive abilities of employees.</w:t>
      </w:r>
      <w:r w:rsidR="00956FBB">
        <w:rPr>
          <w:rFonts w:hAnsi="Times New Roman" w:cs="Times New Roman"/>
          <w:color w:val="auto"/>
        </w:rPr>
        <w:t xml:space="preserve"> The assignor estoppel doctrine </w:t>
      </w:r>
      <w:r w:rsidR="002318AA" w:rsidRPr="00DD1543">
        <w:rPr>
          <w:rFonts w:hAnsi="Times New Roman" w:cs="Times New Roman"/>
          <w:color w:val="auto"/>
        </w:rPr>
        <w:t>is a rule of equity that prevents the assignor of a patent from raising the defense of invalidity in case o</w:t>
      </w:r>
      <w:r w:rsidR="00956FBB">
        <w:rPr>
          <w:rFonts w:hAnsi="Times New Roman" w:cs="Times New Roman"/>
          <w:color w:val="auto"/>
        </w:rPr>
        <w:t>f a suit of patent infringement</w:t>
      </w:r>
      <w:r w:rsidR="008F3B0A" w:rsidRPr="00DD1543">
        <w:rPr>
          <w:rFonts w:hAnsi="Times New Roman" w:cs="Times New Roman"/>
          <w:color w:val="auto"/>
        </w:rPr>
        <w:t>.</w:t>
      </w:r>
      <w:r w:rsidR="008F3B0A" w:rsidRPr="00DD1543">
        <w:rPr>
          <w:rFonts w:eastAsia="Times New Roman" w:hAnsi="Times New Roman" w:cs="Times New Roman"/>
          <w:color w:val="auto"/>
          <w:vertAlign w:val="superscript"/>
        </w:rPr>
        <w:footnoteReference w:id="104"/>
      </w:r>
      <w:r w:rsidR="00E10973">
        <w:rPr>
          <w:rFonts w:hAnsi="Times New Roman" w:cs="Times New Roman"/>
          <w:color w:val="auto"/>
        </w:rPr>
        <w:t xml:space="preserve"> </w:t>
      </w:r>
      <w:r w:rsidR="00734492">
        <w:rPr>
          <w:rFonts w:hAnsi="Times New Roman" w:cs="Times New Roman"/>
          <w:color w:val="auto"/>
        </w:rPr>
        <w:t xml:space="preserve">The doctrine of assignor estoppel was originally developed by courts to prevent unfairness </w:t>
      </w:r>
      <w:r w:rsidR="00F5689E" w:rsidRPr="00DD1543">
        <w:rPr>
          <w:rFonts w:hAnsi="Times New Roman" w:cs="Times New Roman"/>
          <w:color w:val="auto"/>
        </w:rPr>
        <w:t>in circumstances in which an owner of a patent right sells the right to her patent and later denies the value of the very thing from which she profited. The logic is analogous to landlord-tenant situations and estoppel by deed of real estate.</w:t>
      </w:r>
      <w:r w:rsidR="00F5689E" w:rsidRPr="00DD1543">
        <w:rPr>
          <w:rFonts w:eastAsia="Times New Roman" w:hAnsi="Times New Roman" w:cs="Times New Roman"/>
          <w:color w:val="auto"/>
          <w:vertAlign w:val="superscript"/>
        </w:rPr>
        <w:footnoteReference w:id="105"/>
      </w:r>
      <w:r w:rsidR="00D93D3C">
        <w:rPr>
          <w:rFonts w:hAnsi="Times New Roman" w:cs="Times New Roman"/>
          <w:color w:val="auto"/>
        </w:rPr>
        <w:t xml:space="preserve"> </w:t>
      </w:r>
      <w:r w:rsidR="00F5689E">
        <w:rPr>
          <w:rFonts w:hAnsi="Times New Roman" w:cs="Times New Roman"/>
          <w:color w:val="auto"/>
        </w:rPr>
        <w:t xml:space="preserve">The courts viewed an </w:t>
      </w:r>
      <w:r w:rsidR="00F5689E" w:rsidRPr="00DD1543">
        <w:rPr>
          <w:rFonts w:hAnsi="Times New Roman" w:cs="Times New Roman"/>
          <w:color w:val="auto"/>
        </w:rPr>
        <w:t>“</w:t>
      </w:r>
      <w:r w:rsidR="00F5689E">
        <w:rPr>
          <w:rFonts w:hAnsi="Times New Roman" w:cs="Times New Roman"/>
          <w:color w:val="auto"/>
        </w:rPr>
        <w:t>i</w:t>
      </w:r>
      <w:r w:rsidR="00F5689E" w:rsidRPr="00DD1543">
        <w:rPr>
          <w:rFonts w:hAnsi="Times New Roman" w:cs="Times New Roman"/>
          <w:color w:val="auto"/>
        </w:rPr>
        <w:t>ntrinsic unfairness in allowing an assignor to challenge the validity of the patent it assigned” because of “the implicit representation of validity contained in an assignment of a patent for value.”</w:t>
      </w:r>
      <w:r w:rsidR="00F5689E" w:rsidRPr="00DD1543">
        <w:rPr>
          <w:rFonts w:eastAsia="Times New Roman" w:hAnsi="Times New Roman" w:cs="Times New Roman"/>
          <w:color w:val="auto"/>
          <w:vertAlign w:val="superscript"/>
        </w:rPr>
        <w:footnoteReference w:id="106"/>
      </w:r>
      <w:r w:rsidR="00956FBB">
        <w:rPr>
          <w:rFonts w:hAnsi="Times New Roman" w:cs="Times New Roman"/>
          <w:color w:val="auto"/>
        </w:rPr>
        <w:t xml:space="preserve"> </w:t>
      </w:r>
      <w:r w:rsidR="00F5689E">
        <w:rPr>
          <w:rFonts w:hAnsi="Times New Roman" w:cs="Times New Roman"/>
          <w:color w:val="auto"/>
        </w:rPr>
        <w:t xml:space="preserve">This logic however is flipped on its head when we shift our </w:t>
      </w:r>
      <w:r w:rsidR="00D93D3C">
        <w:rPr>
          <w:rFonts w:hAnsi="Times New Roman" w:cs="Times New Roman"/>
          <w:color w:val="auto"/>
        </w:rPr>
        <w:t xml:space="preserve">inquiry </w:t>
      </w:r>
      <w:r w:rsidR="00F5689E">
        <w:rPr>
          <w:rFonts w:hAnsi="Times New Roman" w:cs="Times New Roman"/>
          <w:color w:val="auto"/>
        </w:rPr>
        <w:t>from patent law to human capital law</w:t>
      </w:r>
      <w:r w:rsidR="00862451">
        <w:rPr>
          <w:rFonts w:hAnsi="Times New Roman" w:cs="Times New Roman"/>
          <w:color w:val="auto"/>
        </w:rPr>
        <w:t xml:space="preserve"> and</w:t>
      </w:r>
      <w:r w:rsidR="00D93D3C">
        <w:rPr>
          <w:rFonts w:hAnsi="Times New Roman" w:cs="Times New Roman"/>
          <w:color w:val="auto"/>
        </w:rPr>
        <w:t xml:space="preserve"> </w:t>
      </w:r>
      <w:r w:rsidR="004565D8">
        <w:rPr>
          <w:rFonts w:hAnsi="Times New Roman" w:cs="Times New Roman"/>
          <w:color w:val="auto"/>
        </w:rPr>
        <w:t>examin</w:t>
      </w:r>
      <w:r w:rsidR="00862451">
        <w:rPr>
          <w:rFonts w:hAnsi="Times New Roman" w:cs="Times New Roman"/>
          <w:color w:val="auto"/>
        </w:rPr>
        <w:t>e</w:t>
      </w:r>
      <w:r w:rsidR="004565D8">
        <w:rPr>
          <w:rFonts w:hAnsi="Times New Roman" w:cs="Times New Roman"/>
          <w:color w:val="auto"/>
        </w:rPr>
        <w:t xml:space="preserve"> the application of the doctrine</w:t>
      </w:r>
      <w:r w:rsidR="00D93D3C" w:rsidRPr="00DD1543">
        <w:rPr>
          <w:rFonts w:hAnsi="Times New Roman" w:cs="Times New Roman"/>
          <w:color w:val="auto"/>
        </w:rPr>
        <w:t xml:space="preserve"> </w:t>
      </w:r>
      <w:r w:rsidR="004565D8">
        <w:rPr>
          <w:rFonts w:hAnsi="Times New Roman" w:cs="Times New Roman"/>
          <w:color w:val="auto"/>
        </w:rPr>
        <w:t>in</w:t>
      </w:r>
      <w:r w:rsidR="002318AA" w:rsidRPr="00DD1543">
        <w:rPr>
          <w:rFonts w:hAnsi="Times New Roman" w:cs="Times New Roman"/>
          <w:color w:val="auto"/>
        </w:rPr>
        <w:t xml:space="preserve"> the context of pre-invention assignment in the employment relationship</w:t>
      </w:r>
      <w:r w:rsidR="004565D8">
        <w:rPr>
          <w:rFonts w:hAnsi="Times New Roman" w:cs="Times New Roman"/>
          <w:color w:val="auto"/>
        </w:rPr>
        <w:t>.</w:t>
      </w:r>
      <w:r w:rsidR="002318AA" w:rsidRPr="00DD1543">
        <w:rPr>
          <w:rFonts w:hAnsi="Times New Roman" w:cs="Times New Roman"/>
          <w:color w:val="auto"/>
        </w:rPr>
        <w:t xml:space="preserve"> As we saw</w:t>
      </w:r>
      <w:r w:rsidR="00734492">
        <w:rPr>
          <w:rFonts w:hAnsi="Times New Roman" w:cs="Times New Roman"/>
          <w:color w:val="auto"/>
        </w:rPr>
        <w:t>,</w:t>
      </w:r>
      <w:r w:rsidR="002318AA" w:rsidRPr="00DD1543">
        <w:rPr>
          <w:rFonts w:hAnsi="Times New Roman" w:cs="Times New Roman"/>
          <w:color w:val="auto"/>
        </w:rPr>
        <w:t xml:space="preserve"> assignment clauses refer to future innovation rather than a patent-in-suit. The invention can be very different than what had been assigned. </w:t>
      </w:r>
      <w:r w:rsidR="00956FBB">
        <w:rPr>
          <w:rFonts w:hAnsi="Times New Roman" w:cs="Times New Roman"/>
          <w:color w:val="auto"/>
        </w:rPr>
        <w:t>Indeed, t</w:t>
      </w:r>
      <w:r w:rsidR="002318AA" w:rsidRPr="00DD1543">
        <w:rPr>
          <w:rFonts w:hAnsi="Times New Roman" w:cs="Times New Roman"/>
          <w:color w:val="auto"/>
        </w:rPr>
        <w:t>he</w:t>
      </w:r>
      <w:r w:rsidR="00CC48E1">
        <w:rPr>
          <w:rFonts w:hAnsi="Times New Roman" w:cs="Times New Roman"/>
          <w:color w:val="auto"/>
        </w:rPr>
        <w:t xml:space="preserve"> United States Patent and Trademark Office (US</w:t>
      </w:r>
      <w:r w:rsidR="0009076D">
        <w:rPr>
          <w:rFonts w:hAnsi="Times New Roman" w:cs="Times New Roman"/>
          <w:color w:val="auto"/>
        </w:rPr>
        <w:t>PT</w:t>
      </w:r>
      <w:r w:rsidR="00CC48E1">
        <w:rPr>
          <w:rFonts w:hAnsi="Times New Roman" w:cs="Times New Roman"/>
          <w:color w:val="auto"/>
        </w:rPr>
        <w:t>O)</w:t>
      </w:r>
      <w:r w:rsidR="00CC48E1" w:rsidRPr="00DD1543">
        <w:rPr>
          <w:rFonts w:hAnsi="Times New Roman" w:cs="Times New Roman"/>
          <w:color w:val="auto"/>
        </w:rPr>
        <w:t xml:space="preserve"> </w:t>
      </w:r>
      <w:r w:rsidR="002318AA" w:rsidRPr="00DD1543">
        <w:rPr>
          <w:rFonts w:hAnsi="Times New Roman" w:cs="Times New Roman"/>
          <w:color w:val="auto"/>
        </w:rPr>
        <w:t>often determines that a filed patent application must be divided into two or more patents, expanded</w:t>
      </w:r>
      <w:r w:rsidR="00956FBB">
        <w:rPr>
          <w:rFonts w:hAnsi="Times New Roman" w:cs="Times New Roman"/>
          <w:color w:val="auto"/>
        </w:rPr>
        <w:t>,</w:t>
      </w:r>
      <w:r w:rsidR="002318AA" w:rsidRPr="00DD1543">
        <w:rPr>
          <w:rFonts w:hAnsi="Times New Roman" w:cs="Times New Roman"/>
          <w:color w:val="auto"/>
        </w:rPr>
        <w:t xml:space="preserve"> or modified. </w:t>
      </w:r>
      <w:r w:rsidR="00956FBB">
        <w:rPr>
          <w:rFonts w:hAnsi="Times New Roman" w:cs="Times New Roman"/>
          <w:color w:val="auto"/>
        </w:rPr>
        <w:t>Thus, a</w:t>
      </w:r>
      <w:r w:rsidR="00956FBB" w:rsidRPr="00DD1543">
        <w:rPr>
          <w:rFonts w:hAnsi="Times New Roman" w:cs="Times New Roman"/>
          <w:color w:val="auto"/>
        </w:rPr>
        <w:t>ssignment of future innovation is always done under conditions of uncertainty.</w:t>
      </w:r>
      <w:r w:rsidR="00956FBB" w:rsidRPr="00DD1543">
        <w:rPr>
          <w:rFonts w:eastAsia="Times New Roman" w:hAnsi="Times New Roman" w:cs="Times New Roman"/>
          <w:color w:val="auto"/>
          <w:vertAlign w:val="superscript"/>
        </w:rPr>
        <w:footnoteReference w:id="107"/>
      </w:r>
      <w:r w:rsidR="00B576E8">
        <w:rPr>
          <w:rFonts w:hAnsi="Times New Roman" w:cs="Times New Roman"/>
          <w:color w:val="auto"/>
        </w:rPr>
        <w:t xml:space="preserve"> </w:t>
      </w:r>
      <w:r w:rsidR="00B576E8" w:rsidRPr="009071B5">
        <w:rPr>
          <w:rFonts w:hAnsi="Times New Roman" w:cs="Times New Roman"/>
          <w:color w:val="auto"/>
        </w:rPr>
        <w:t>Put differently, i</w:t>
      </w:r>
      <w:r w:rsidR="000A5B0D" w:rsidRPr="009071B5">
        <w:rPr>
          <w:color w:val="auto"/>
        </w:rPr>
        <w:t xml:space="preserve">n the context of human capital, </w:t>
      </w:r>
      <w:r w:rsidR="009071B5" w:rsidRPr="009071B5">
        <w:rPr>
          <w:color w:val="auto"/>
        </w:rPr>
        <w:t xml:space="preserve">the representation of the assignment in </w:t>
      </w:r>
      <w:r w:rsidR="000A5B0D" w:rsidRPr="009071B5">
        <w:rPr>
          <w:color w:val="auto"/>
        </w:rPr>
        <w:t>contracts assigning future innovation</w:t>
      </w:r>
      <w:r w:rsidR="009071B5" w:rsidRPr="009071B5">
        <w:rPr>
          <w:color w:val="auto"/>
        </w:rPr>
        <w:t xml:space="preserve"> </w:t>
      </w:r>
      <w:r w:rsidR="000A5B0D" w:rsidRPr="009071B5">
        <w:rPr>
          <w:color w:val="auto"/>
        </w:rPr>
        <w:t>is made by the employer rather than the employee.</w:t>
      </w:r>
      <w:r w:rsidR="000A5B0D" w:rsidRPr="00DD1543">
        <w:rPr>
          <w:color w:val="auto"/>
        </w:rPr>
        <w:t xml:space="preserve"> Thus, the landlord parallels the employer</w:t>
      </w:r>
      <w:r w:rsidR="000A5B0D">
        <w:rPr>
          <w:color w:val="auto"/>
        </w:rPr>
        <w:t xml:space="preserve"> and</w:t>
      </w:r>
      <w:r w:rsidR="000A5B0D" w:rsidRPr="00DD1543">
        <w:rPr>
          <w:color w:val="auto"/>
        </w:rPr>
        <w:t xml:space="preserve"> the tenant </w:t>
      </w:r>
      <w:r w:rsidR="000A5B0D">
        <w:rPr>
          <w:color w:val="auto"/>
        </w:rPr>
        <w:t xml:space="preserve">parallels </w:t>
      </w:r>
      <w:r w:rsidR="000A5B0D" w:rsidRPr="00DD1543">
        <w:rPr>
          <w:color w:val="auto"/>
        </w:rPr>
        <w:t xml:space="preserve">the employee. </w:t>
      </w:r>
      <w:r w:rsidR="000A5B0D">
        <w:rPr>
          <w:color w:val="auto"/>
        </w:rPr>
        <w:t>T</w:t>
      </w:r>
      <w:r w:rsidR="000A5B0D" w:rsidRPr="00DD1543">
        <w:rPr>
          <w:color w:val="auto"/>
        </w:rPr>
        <w:t xml:space="preserve">he analogies that served as the basis for the development of the assignor estoppel doctrine do not simply fail, </w:t>
      </w:r>
      <w:r w:rsidR="000A5B0D">
        <w:rPr>
          <w:color w:val="auto"/>
        </w:rPr>
        <w:t xml:space="preserve">but </w:t>
      </w:r>
      <w:r w:rsidR="000A5B0D" w:rsidRPr="00DD1543">
        <w:rPr>
          <w:color w:val="auto"/>
        </w:rPr>
        <w:t>are reversed.</w:t>
      </w:r>
      <w:bookmarkStart w:id="15" w:name="SDU_4"/>
      <w:r w:rsidR="000A5B0D">
        <w:rPr>
          <w:color w:val="auto"/>
        </w:rPr>
        <w:t xml:space="preserve">  </w:t>
      </w:r>
      <w:bookmarkEnd w:id="15"/>
    </w:p>
    <w:p w14:paraId="3A0DEB10" w14:textId="77777777" w:rsidR="007F1F19" w:rsidRPr="00DD1543" w:rsidRDefault="007F1F19">
      <w:pPr>
        <w:rPr>
          <w:rFonts w:hAnsi="Times New Roman" w:cs="Times New Roman"/>
          <w:color w:val="auto"/>
        </w:rPr>
      </w:pPr>
    </w:p>
    <w:p w14:paraId="42FF85C7" w14:textId="1D2185EF" w:rsidR="007F1F19" w:rsidRPr="00DD1543" w:rsidRDefault="00096754" w:rsidP="00096754">
      <w:pPr>
        <w:spacing w:after="240"/>
        <w:ind w:firstLine="0"/>
        <w:rPr>
          <w:rFonts w:hAnsi="Times New Roman" w:cs="Times New Roman"/>
          <w:color w:val="auto"/>
        </w:rPr>
      </w:pPr>
      <w:r>
        <w:rPr>
          <w:rFonts w:hAnsi="Times New Roman" w:cs="Times New Roman"/>
          <w:color w:val="auto"/>
        </w:rPr>
        <w:tab/>
      </w:r>
      <w:r w:rsidR="00956FBB">
        <w:rPr>
          <w:rFonts w:hAnsi="Times New Roman" w:cs="Times New Roman"/>
          <w:color w:val="auto"/>
        </w:rPr>
        <w:t>In practice, t</w:t>
      </w:r>
      <w:r w:rsidR="002318AA" w:rsidRPr="00DD1543">
        <w:rPr>
          <w:rFonts w:hAnsi="Times New Roman" w:cs="Times New Roman"/>
          <w:color w:val="auto"/>
        </w:rPr>
        <w:t xml:space="preserve">he assignor estoppel doctrine </w:t>
      </w:r>
      <w:r w:rsidR="00956FBB">
        <w:rPr>
          <w:rFonts w:hAnsi="Times New Roman" w:cs="Times New Roman"/>
          <w:color w:val="auto"/>
        </w:rPr>
        <w:t>operates to place</w:t>
      </w:r>
      <w:r w:rsidR="002318AA" w:rsidRPr="00DD1543">
        <w:rPr>
          <w:rFonts w:hAnsi="Times New Roman" w:cs="Times New Roman"/>
          <w:color w:val="auto"/>
        </w:rPr>
        <w:t xml:space="preserve"> a former employee and his new employer at a great disadvantage compared to all other competitors</w:t>
      </w:r>
      <w:r w:rsidR="00890AEF">
        <w:rPr>
          <w:rFonts w:hAnsi="Times New Roman" w:cs="Times New Roman"/>
          <w:color w:val="auto"/>
        </w:rPr>
        <w:t xml:space="preserve"> because </w:t>
      </w:r>
      <w:r w:rsidR="002318AA" w:rsidRPr="00DD1543">
        <w:rPr>
          <w:rFonts w:hAnsi="Times New Roman" w:cs="Times New Roman"/>
          <w:color w:val="auto"/>
        </w:rPr>
        <w:t xml:space="preserve">their </w:t>
      </w:r>
      <w:r w:rsidR="00455921">
        <w:rPr>
          <w:rFonts w:hAnsi="Times New Roman" w:cs="Times New Roman"/>
          <w:color w:val="auto"/>
        </w:rPr>
        <w:t xml:space="preserve">legal </w:t>
      </w:r>
      <w:r w:rsidR="002318AA" w:rsidRPr="00DD1543">
        <w:rPr>
          <w:rFonts w:hAnsi="Times New Roman" w:cs="Times New Roman"/>
          <w:color w:val="auto"/>
        </w:rPr>
        <w:t xml:space="preserve">defenses are dramatically diminished. </w:t>
      </w:r>
      <w:r w:rsidR="00956FBB">
        <w:rPr>
          <w:rFonts w:hAnsi="Times New Roman" w:cs="Times New Roman"/>
          <w:color w:val="auto"/>
        </w:rPr>
        <w:t>Because i</w:t>
      </w:r>
      <w:r w:rsidR="006B41D4" w:rsidRPr="00DD1543">
        <w:rPr>
          <w:rFonts w:hAnsi="Times New Roman" w:cs="Times New Roman"/>
          <w:color w:val="auto"/>
        </w:rPr>
        <w:t>nvalidity is a maj</w:t>
      </w:r>
      <w:r w:rsidR="00956FBB">
        <w:rPr>
          <w:rFonts w:hAnsi="Times New Roman" w:cs="Times New Roman"/>
          <w:color w:val="auto"/>
        </w:rPr>
        <w:t>or defense in patent litigation,</w:t>
      </w:r>
      <w:r w:rsidR="00956FBB" w:rsidRPr="00DD1543">
        <w:rPr>
          <w:rFonts w:eastAsia="Times New Roman" w:hAnsi="Times New Roman" w:cs="Times New Roman"/>
          <w:color w:val="auto"/>
          <w:vertAlign w:val="superscript"/>
        </w:rPr>
        <w:footnoteReference w:id="108"/>
      </w:r>
      <w:r w:rsidR="00956FBB" w:rsidRPr="00956FBB">
        <w:rPr>
          <w:rFonts w:hAnsi="Times New Roman" w:cs="Times New Roman"/>
          <w:color w:val="auto"/>
        </w:rPr>
        <w:t xml:space="preserve"> </w:t>
      </w:r>
      <w:r w:rsidR="00956FBB">
        <w:rPr>
          <w:rFonts w:hAnsi="Times New Roman" w:cs="Times New Roman"/>
          <w:color w:val="auto"/>
        </w:rPr>
        <w:t>i</w:t>
      </w:r>
      <w:r w:rsidR="00956FBB" w:rsidRPr="00DD1543">
        <w:rPr>
          <w:rFonts w:hAnsi="Times New Roman" w:cs="Times New Roman"/>
          <w:color w:val="auto"/>
        </w:rPr>
        <w:t>n essence, assignor estoppel penalizes a former employee and thus creates a powerful disincentive for competitors to hire an employee w</w:t>
      </w:r>
      <w:r w:rsidR="00956FBB">
        <w:rPr>
          <w:rFonts w:hAnsi="Times New Roman" w:cs="Times New Roman"/>
          <w:color w:val="auto"/>
        </w:rPr>
        <w:t>ho has experience in the field.</w:t>
      </w:r>
      <w:r w:rsidR="006B41D4" w:rsidRPr="00DD1543">
        <w:rPr>
          <w:rFonts w:hAnsi="Times New Roman" w:cs="Times New Roman"/>
          <w:color w:val="auto"/>
        </w:rPr>
        <w:t xml:space="preserve"> </w:t>
      </w:r>
      <w:r w:rsidR="000A41F1">
        <w:rPr>
          <w:rFonts w:hAnsi="Times New Roman" w:cs="Times New Roman"/>
          <w:color w:val="auto"/>
        </w:rPr>
        <w:t>Essentially</w:t>
      </w:r>
      <w:r w:rsidR="002318AA" w:rsidRPr="00DD1543">
        <w:rPr>
          <w:rFonts w:hAnsi="Times New Roman" w:cs="Times New Roman"/>
          <w:color w:val="auto"/>
        </w:rPr>
        <w:t>, anyone who already has human capital in the hiring company’s field becomes a liability</w:t>
      </w:r>
      <w:r w:rsidR="00296120">
        <w:rPr>
          <w:rFonts w:hAnsi="Times New Roman" w:cs="Times New Roman"/>
          <w:color w:val="auto"/>
        </w:rPr>
        <w:t xml:space="preserve"> for the new company</w:t>
      </w:r>
      <w:r w:rsidR="002318AA" w:rsidRPr="00DD1543">
        <w:rPr>
          <w:rFonts w:hAnsi="Times New Roman" w:cs="Times New Roman"/>
          <w:color w:val="auto"/>
        </w:rPr>
        <w:t>. The following has become a prevalent scenario: an employee, as part of his employment agreement, assigns an invention to the firm (Firm A). The employee moves to a competing firm, Firm B. After the employee leaves</w:t>
      </w:r>
      <w:r w:rsidR="000A41F1">
        <w:rPr>
          <w:rFonts w:hAnsi="Times New Roman" w:cs="Times New Roman"/>
          <w:color w:val="auto"/>
        </w:rPr>
        <w:t xml:space="preserve"> Firm A</w:t>
      </w:r>
      <w:r w:rsidR="002318AA" w:rsidRPr="00DD1543">
        <w:rPr>
          <w:rFonts w:hAnsi="Times New Roman" w:cs="Times New Roman"/>
          <w:color w:val="auto"/>
        </w:rPr>
        <w:t xml:space="preserve">, Firm A files for a patent on the former employee’s inventions. This can happen without the employee’s knowledge or consent regarding the claims issued and the </w:t>
      </w:r>
      <w:r w:rsidR="002318AA" w:rsidRPr="00830C17">
        <w:rPr>
          <w:rFonts w:hAnsi="Times New Roman" w:cs="Times New Roman"/>
          <w:color w:val="auto"/>
        </w:rPr>
        <w:t xml:space="preserve">scope of the filed patents. </w:t>
      </w:r>
      <w:r w:rsidR="00F355FC">
        <w:rPr>
          <w:rFonts w:hAnsi="Times New Roman" w:cs="Times New Roman"/>
          <w:color w:val="auto"/>
        </w:rPr>
        <w:t>Frequently,</w:t>
      </w:r>
      <w:r w:rsidR="000A5B0D" w:rsidRPr="009342B8">
        <w:rPr>
          <w:rFonts w:hAnsi="Times New Roman" w:cs="Times New Roman"/>
          <w:color w:val="auto"/>
        </w:rPr>
        <w:t xml:space="preserve"> claims are filed post-employment and without the former employe</w:t>
      </w:r>
      <w:r w:rsidR="00F355FC">
        <w:rPr>
          <w:rFonts w:hAnsi="Times New Roman" w:cs="Times New Roman"/>
          <w:color w:val="auto"/>
        </w:rPr>
        <w:t>e’s control over the filed</w:t>
      </w:r>
      <w:r w:rsidR="000A5B0D" w:rsidRPr="009342B8">
        <w:rPr>
          <w:rFonts w:hAnsi="Times New Roman" w:cs="Times New Roman"/>
          <w:color w:val="auto"/>
        </w:rPr>
        <w:t xml:space="preserve"> claims. </w:t>
      </w:r>
      <w:r w:rsidR="002318AA" w:rsidRPr="00830C17">
        <w:rPr>
          <w:rFonts w:hAnsi="Times New Roman" w:cs="Times New Roman"/>
          <w:color w:val="auto"/>
        </w:rPr>
        <w:t xml:space="preserve">During this period after the employee began working at Firm B, she </w:t>
      </w:r>
      <w:r w:rsidR="002318AA" w:rsidRPr="009071B5">
        <w:rPr>
          <w:rFonts w:hAnsi="Times New Roman" w:cs="Times New Roman"/>
          <w:color w:val="auto"/>
        </w:rPr>
        <w:t>works on innovation</w:t>
      </w:r>
      <w:r w:rsidR="002318AA" w:rsidRPr="00DD1543">
        <w:rPr>
          <w:rFonts w:hAnsi="Times New Roman" w:cs="Times New Roman"/>
          <w:color w:val="auto"/>
        </w:rPr>
        <w:t xml:space="preserve"> for Firm B. If Firm A sues Firm B for patent infringement, Firm B is estopped from attacking the validity of the patent because it </w:t>
      </w:r>
      <w:r w:rsidR="000A41F1">
        <w:rPr>
          <w:rFonts w:hAnsi="Times New Roman" w:cs="Times New Roman"/>
          <w:color w:val="auto"/>
        </w:rPr>
        <w:t xml:space="preserve">has </w:t>
      </w:r>
      <w:r w:rsidR="002318AA" w:rsidRPr="00DD1543">
        <w:rPr>
          <w:rFonts w:hAnsi="Times New Roman" w:cs="Times New Roman"/>
          <w:color w:val="auto"/>
        </w:rPr>
        <w:t>hired a former Firm A employee and used her skills to continue innovating in her field of expertise.</w:t>
      </w:r>
      <w:r w:rsidR="00443D7C">
        <w:rPr>
          <w:rStyle w:val="FootnoteReference"/>
          <w:rFonts w:hAnsi="Times New Roman" w:cs="Times New Roman"/>
          <w:color w:val="auto"/>
        </w:rPr>
        <w:footnoteReference w:id="109"/>
      </w:r>
    </w:p>
    <w:p w14:paraId="5FBBE946" w14:textId="77777777" w:rsidR="00B576E8" w:rsidRPr="00DD1543" w:rsidRDefault="00D000B9" w:rsidP="00B576E8">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The perverse result is that the most productive and experienced employees</w:t>
      </w:r>
      <w:r w:rsidR="00890AEF">
        <w:rPr>
          <w:rFonts w:hAnsi="Times New Roman" w:cs="Times New Roman"/>
          <w:color w:val="auto"/>
        </w:rPr>
        <w:t>,</w:t>
      </w:r>
      <w:r w:rsidR="002318AA" w:rsidRPr="00DD1543">
        <w:rPr>
          <w:rFonts w:hAnsi="Times New Roman" w:cs="Times New Roman"/>
          <w:color w:val="auto"/>
        </w:rPr>
        <w:t xml:space="preserve"> who are already engaged in inventive activities in their industry</w:t>
      </w:r>
      <w:r w:rsidR="00890AEF">
        <w:rPr>
          <w:rFonts w:hAnsi="Times New Roman" w:cs="Times New Roman"/>
          <w:color w:val="auto"/>
        </w:rPr>
        <w:t>,</w:t>
      </w:r>
      <w:r w:rsidR="002318AA" w:rsidRPr="00DD1543">
        <w:rPr>
          <w:rFonts w:hAnsi="Times New Roman" w:cs="Times New Roman"/>
          <w:color w:val="auto"/>
        </w:rPr>
        <w:t xml:space="preserve"> become untouchables.</w:t>
      </w:r>
      <w:r w:rsidR="0019107A">
        <w:rPr>
          <w:rStyle w:val="FootnoteReference"/>
          <w:rFonts w:hAnsi="Times New Roman" w:cs="Times New Roman"/>
          <w:color w:val="auto"/>
        </w:rPr>
        <w:footnoteReference w:id="110"/>
      </w:r>
      <w:r w:rsidR="000A41F1">
        <w:rPr>
          <w:rFonts w:hAnsi="Times New Roman" w:cs="Times New Roman"/>
          <w:color w:val="auto"/>
        </w:rPr>
        <w:t xml:space="preserve"> </w:t>
      </w:r>
      <w:r w:rsidR="002318AA" w:rsidRPr="00DD1543">
        <w:rPr>
          <w:rFonts w:hAnsi="Times New Roman" w:cs="Times New Roman"/>
          <w:color w:val="auto"/>
        </w:rPr>
        <w:t xml:space="preserve">The hiring of these employees who are already in the field creates an immense risk. Aberrantly, the more experienced an employee, the less employable they become. </w:t>
      </w:r>
      <w:r w:rsidR="00B576E8">
        <w:rPr>
          <w:color w:val="auto"/>
        </w:rPr>
        <w:t xml:space="preserve">The assignment agreement coupled with the assignor estoppel doctrine </w:t>
      </w:r>
      <w:r w:rsidR="00B576E8" w:rsidRPr="00DD1543">
        <w:rPr>
          <w:color w:val="auto"/>
        </w:rPr>
        <w:t xml:space="preserve">becomes a </w:t>
      </w:r>
      <w:r w:rsidR="00B576E8" w:rsidRPr="00DD1543">
        <w:rPr>
          <w:i/>
          <w:iCs/>
          <w:color w:val="auto"/>
        </w:rPr>
        <w:t>de facto</w:t>
      </w:r>
      <w:r w:rsidR="00B576E8" w:rsidRPr="00DD1543">
        <w:rPr>
          <w:color w:val="auto"/>
        </w:rPr>
        <w:t xml:space="preserve"> trailer clause, </w:t>
      </w:r>
      <w:r w:rsidR="00B576E8">
        <w:rPr>
          <w:color w:val="auto"/>
        </w:rPr>
        <w:t xml:space="preserve">both </w:t>
      </w:r>
      <w:r w:rsidR="00B576E8" w:rsidRPr="00DD1543">
        <w:rPr>
          <w:color w:val="auto"/>
        </w:rPr>
        <w:t>tantamount to a</w:t>
      </w:r>
      <w:r w:rsidR="00B576E8">
        <w:rPr>
          <w:color w:val="auto"/>
        </w:rPr>
        <w:t xml:space="preserve"> post-employment </w:t>
      </w:r>
      <w:r w:rsidR="00B576E8" w:rsidRPr="00DD1543">
        <w:rPr>
          <w:color w:val="auto"/>
        </w:rPr>
        <w:t>n</w:t>
      </w:r>
      <w:r w:rsidR="00B576E8">
        <w:rPr>
          <w:color w:val="auto"/>
        </w:rPr>
        <w:t>on</w:t>
      </w:r>
      <w:r w:rsidR="00B576E8" w:rsidRPr="00DD1543">
        <w:rPr>
          <w:color w:val="auto"/>
        </w:rPr>
        <w:t>-compete.</w:t>
      </w:r>
    </w:p>
    <w:p w14:paraId="46F1154B" w14:textId="77777777" w:rsidR="007F1F19" w:rsidRPr="00DD1543" w:rsidRDefault="007F1F19" w:rsidP="006606A2">
      <w:pPr>
        <w:ind w:firstLine="0"/>
        <w:rPr>
          <w:rFonts w:hAnsi="Times New Roman" w:cs="Times New Roman"/>
          <w:color w:val="auto"/>
        </w:rPr>
      </w:pPr>
    </w:p>
    <w:p w14:paraId="29CAC98C" w14:textId="77777777" w:rsidR="007F1F19" w:rsidRPr="00DD1543" w:rsidRDefault="007F1F19">
      <w:pPr>
        <w:rPr>
          <w:rFonts w:hAnsi="Times New Roman" w:cs="Times New Roman"/>
          <w:color w:val="auto"/>
        </w:rPr>
      </w:pPr>
    </w:p>
    <w:p w14:paraId="63A2B787" w14:textId="77777777" w:rsidR="007F1F19" w:rsidRPr="00DD1543" w:rsidRDefault="002318AA">
      <w:pPr>
        <w:pStyle w:val="Heading3"/>
        <w:numPr>
          <w:ilvl w:val="2"/>
          <w:numId w:val="10"/>
        </w:numPr>
        <w:rPr>
          <w:color w:val="auto"/>
        </w:rPr>
      </w:pPr>
      <w:bookmarkStart w:id="16" w:name="_Toc399167393"/>
      <w:r w:rsidRPr="00DD1543">
        <w:rPr>
          <w:color w:val="auto"/>
        </w:rPr>
        <w:t>And Everything in Between: Weekends and Nights</w:t>
      </w:r>
      <w:bookmarkEnd w:id="16"/>
    </w:p>
    <w:p w14:paraId="7467B4AB" w14:textId="77777777" w:rsidR="007F1F19" w:rsidRPr="00DD1543" w:rsidRDefault="007F1F19">
      <w:pPr>
        <w:rPr>
          <w:rFonts w:hAnsi="Times New Roman" w:cs="Times New Roman"/>
          <w:color w:val="auto"/>
        </w:rPr>
      </w:pPr>
    </w:p>
    <w:p w14:paraId="498B0346" w14:textId="77777777" w:rsidR="007F1F19" w:rsidRPr="00DD1543" w:rsidRDefault="00674742" w:rsidP="00B576E8">
      <w:pPr>
        <w:ind w:firstLine="0"/>
        <w:rPr>
          <w:rFonts w:hAnsi="Times New Roman" w:cs="Times New Roman"/>
          <w:color w:val="auto"/>
        </w:rPr>
      </w:pPr>
      <w:r>
        <w:rPr>
          <w:rFonts w:hAnsi="Times New Roman" w:cs="Times New Roman"/>
          <w:color w:val="auto"/>
        </w:rPr>
        <w:tab/>
      </w:r>
      <w:r w:rsidR="00B576E8">
        <w:rPr>
          <w:rFonts w:hAnsi="Times New Roman" w:cs="Times New Roman"/>
          <w:color w:val="auto"/>
        </w:rPr>
        <w:t>I</w:t>
      </w:r>
      <w:r w:rsidR="002318AA" w:rsidRPr="00DD1543">
        <w:rPr>
          <w:rFonts w:hAnsi="Times New Roman" w:cs="Times New Roman"/>
          <w:color w:val="auto"/>
        </w:rPr>
        <w:t xml:space="preserve">n </w:t>
      </w:r>
      <w:r w:rsidR="002318AA" w:rsidRPr="00DD1543">
        <w:rPr>
          <w:rFonts w:hAnsi="Times New Roman" w:cs="Times New Roman"/>
          <w:i/>
          <w:iCs/>
          <w:color w:val="auto"/>
        </w:rPr>
        <w:t>Mattel v. MGA</w:t>
      </w:r>
      <w:r w:rsidR="002318AA" w:rsidRPr="00DD1543">
        <w:rPr>
          <w:rFonts w:hAnsi="Times New Roman" w:cs="Times New Roman"/>
          <w:color w:val="auto"/>
        </w:rPr>
        <w:t xml:space="preserve"> </w:t>
      </w:r>
      <w:r w:rsidR="00B576E8">
        <w:rPr>
          <w:rFonts w:hAnsi="Times New Roman" w:cs="Times New Roman"/>
          <w:color w:val="auto"/>
        </w:rPr>
        <w:t>m</w:t>
      </w:r>
      <w:r w:rsidR="00B576E8" w:rsidRPr="00DD1543">
        <w:rPr>
          <w:rFonts w:hAnsi="Times New Roman" w:cs="Times New Roman"/>
          <w:color w:val="auto"/>
        </w:rPr>
        <w:t xml:space="preserve">uch of the trial drama </w:t>
      </w:r>
      <w:r w:rsidR="002318AA" w:rsidRPr="00DD1543">
        <w:rPr>
          <w:rFonts w:hAnsi="Times New Roman" w:cs="Times New Roman"/>
          <w:color w:val="auto"/>
        </w:rPr>
        <w:t>centered on whether the court could pinpoint the moment that Carter Bryant created his brainchild, the Bratz doll. Recall that Bryant's employment agreement provided assignment for all inventions conceived or reduced to practice</w:t>
      </w:r>
      <w:r w:rsidR="000A41F1">
        <w:rPr>
          <w:rFonts w:hAnsi="Times New Roman" w:cs="Times New Roman"/>
          <w:color w:val="auto"/>
        </w:rPr>
        <w:t xml:space="preserve"> </w:t>
      </w:r>
      <w:r w:rsidR="00A36206">
        <w:rPr>
          <w:rFonts w:hAnsi="Times New Roman" w:cs="Times New Roman"/>
          <w:color w:val="auto"/>
        </w:rPr>
        <w:t>“</w:t>
      </w:r>
      <w:r w:rsidR="00754F83">
        <w:rPr>
          <w:rFonts w:hAnsi="Times New Roman" w:cs="Times New Roman"/>
          <w:color w:val="auto"/>
        </w:rPr>
        <w:t xml:space="preserve">at any time during </w:t>
      </w:r>
      <w:r w:rsidR="00A36206">
        <w:rPr>
          <w:rFonts w:hAnsi="Times New Roman" w:cs="Times New Roman"/>
          <w:color w:val="auto"/>
        </w:rPr>
        <w:t>(</w:t>
      </w:r>
      <w:r w:rsidR="00754F83">
        <w:rPr>
          <w:rFonts w:hAnsi="Times New Roman" w:cs="Times New Roman"/>
          <w:color w:val="auto"/>
        </w:rPr>
        <w:t>his</w:t>
      </w:r>
      <w:r w:rsidR="00A36206">
        <w:rPr>
          <w:rFonts w:hAnsi="Times New Roman" w:cs="Times New Roman"/>
          <w:color w:val="auto"/>
        </w:rPr>
        <w:t>)</w:t>
      </w:r>
      <w:r w:rsidR="00754F83">
        <w:rPr>
          <w:rFonts w:hAnsi="Times New Roman" w:cs="Times New Roman"/>
          <w:color w:val="auto"/>
        </w:rPr>
        <w:t xml:space="preserve"> employment</w:t>
      </w:r>
      <w:r w:rsidR="00A36206">
        <w:rPr>
          <w:rFonts w:hAnsi="Times New Roman" w:cs="Times New Roman"/>
          <w:color w:val="auto"/>
        </w:rPr>
        <w:t>”</w:t>
      </w:r>
      <w:r w:rsidR="00754F83">
        <w:rPr>
          <w:rFonts w:hAnsi="Times New Roman" w:cs="Times New Roman"/>
          <w:color w:val="auto"/>
        </w:rPr>
        <w:t xml:space="preserve"> at Mattel.</w:t>
      </w:r>
      <w:r w:rsidR="002318AA" w:rsidRPr="00DD1543">
        <w:rPr>
          <w:rFonts w:hAnsi="Times New Roman" w:cs="Times New Roman"/>
          <w:color w:val="auto"/>
        </w:rPr>
        <w:t xml:space="preserve"> Bryant argued that he came up with the concept of the doll while on a year leave from Mattel in 1998. Alternatively, he argued that even if he had worked on the concept during the period in which he was employed, he did </w:t>
      </w:r>
      <w:r w:rsidR="000A41F1">
        <w:rPr>
          <w:rFonts w:hAnsi="Times New Roman" w:cs="Times New Roman"/>
          <w:color w:val="auto"/>
        </w:rPr>
        <w:t>this</w:t>
      </w:r>
      <w:r w:rsidR="000A41F1" w:rsidRPr="00DD1543">
        <w:rPr>
          <w:rFonts w:hAnsi="Times New Roman" w:cs="Times New Roman"/>
          <w:color w:val="auto"/>
        </w:rPr>
        <w:t xml:space="preserve"> </w:t>
      </w:r>
      <w:r w:rsidR="002318AA" w:rsidRPr="00DD1543">
        <w:rPr>
          <w:rFonts w:hAnsi="Times New Roman" w:cs="Times New Roman"/>
          <w:color w:val="auto"/>
        </w:rPr>
        <w:t xml:space="preserve">during his </w:t>
      </w:r>
      <w:r w:rsidR="00B576E8">
        <w:rPr>
          <w:rFonts w:hAnsi="Times New Roman" w:cs="Times New Roman"/>
          <w:color w:val="auto"/>
        </w:rPr>
        <w:t>off</w:t>
      </w:r>
      <w:r w:rsidR="007008D4">
        <w:rPr>
          <w:rFonts w:hAnsi="Times New Roman" w:cs="Times New Roman"/>
          <w:color w:val="auto"/>
        </w:rPr>
        <w:t xml:space="preserve"> </w:t>
      </w:r>
      <w:r w:rsidR="00495D44" w:rsidRPr="00DD1543">
        <w:rPr>
          <w:rFonts w:hAnsi="Times New Roman" w:cs="Times New Roman"/>
          <w:color w:val="auto"/>
        </w:rPr>
        <w:t>time</w:t>
      </w:r>
      <w:r w:rsidR="002318AA" w:rsidRPr="00DD1543">
        <w:rPr>
          <w:rFonts w:hAnsi="Times New Roman" w:cs="Times New Roman"/>
          <w:color w:val="auto"/>
        </w:rPr>
        <w:t>, at home at night and on weekends. The question then becomes, even if one assigns their rights for all innovation while employed, can assignment include all cognitive resources 24</w:t>
      </w:r>
      <w:r w:rsidR="000A41F1">
        <w:rPr>
          <w:rFonts w:hAnsi="Times New Roman" w:cs="Times New Roman"/>
          <w:color w:val="auto"/>
        </w:rPr>
        <w:t xml:space="preserve"> hours a day and </w:t>
      </w:r>
      <w:r w:rsidR="002318AA" w:rsidRPr="00DD1543">
        <w:rPr>
          <w:rFonts w:hAnsi="Times New Roman" w:cs="Times New Roman"/>
          <w:color w:val="auto"/>
        </w:rPr>
        <w:t>7</w:t>
      </w:r>
      <w:r w:rsidR="000A41F1">
        <w:rPr>
          <w:rFonts w:hAnsi="Times New Roman" w:cs="Times New Roman"/>
          <w:color w:val="auto"/>
        </w:rPr>
        <w:t xml:space="preserve"> days a week</w:t>
      </w:r>
      <w:r w:rsidR="002318AA" w:rsidRPr="00DD1543">
        <w:rPr>
          <w:rFonts w:hAnsi="Times New Roman" w:cs="Times New Roman"/>
          <w:color w:val="auto"/>
        </w:rPr>
        <w:t>?</w:t>
      </w:r>
    </w:p>
    <w:p w14:paraId="750977B5" w14:textId="77777777" w:rsidR="007F1F19" w:rsidRPr="00DD1543" w:rsidRDefault="007F1F19">
      <w:pPr>
        <w:rPr>
          <w:rFonts w:hAnsi="Times New Roman" w:cs="Times New Roman"/>
          <w:color w:val="auto"/>
        </w:rPr>
      </w:pPr>
    </w:p>
    <w:p w14:paraId="07424E72" w14:textId="77777777" w:rsidR="007F1F19" w:rsidRPr="00DD1543" w:rsidRDefault="00674742" w:rsidP="00674742">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In looking at the issue, once again Judge Kozinski </w:t>
      </w:r>
      <w:r w:rsidR="00752DB4">
        <w:rPr>
          <w:rFonts w:hAnsi="Times New Roman" w:cs="Times New Roman"/>
          <w:color w:val="auto"/>
        </w:rPr>
        <w:t>construed</w:t>
      </w:r>
      <w:r w:rsidR="002318AA" w:rsidRPr="00DD1543">
        <w:rPr>
          <w:rFonts w:hAnsi="Times New Roman" w:cs="Times New Roman"/>
          <w:color w:val="auto"/>
        </w:rPr>
        <w:t xml:space="preserve"> the</w:t>
      </w:r>
      <w:r w:rsidR="00752DB4">
        <w:rPr>
          <w:rFonts w:hAnsi="Times New Roman" w:cs="Times New Roman"/>
          <w:color w:val="auto"/>
        </w:rPr>
        <w:t xml:space="preserve"> issue as a</w:t>
      </w:r>
      <w:r w:rsidR="002318AA" w:rsidRPr="00DD1543">
        <w:rPr>
          <w:rFonts w:hAnsi="Times New Roman" w:cs="Times New Roman"/>
          <w:color w:val="auto"/>
        </w:rPr>
        <w:t xml:space="preserve"> question of contractual interpretation. </w:t>
      </w:r>
      <w:r w:rsidR="00B576E8">
        <w:rPr>
          <w:rFonts w:hAnsi="Times New Roman" w:cs="Times New Roman"/>
          <w:color w:val="auto"/>
        </w:rPr>
        <w:t>Mattel argued that the contract must expand the contours of IP, which merely assigns to the</w:t>
      </w:r>
      <w:r w:rsidR="00830C17">
        <w:rPr>
          <w:rFonts w:hAnsi="Times New Roman" w:cs="Times New Roman"/>
          <w:color w:val="auto"/>
        </w:rPr>
        <w:t xml:space="preserve"> </w:t>
      </w:r>
      <w:r w:rsidR="00B576E8">
        <w:rPr>
          <w:rFonts w:hAnsi="Times New Roman" w:cs="Times New Roman"/>
          <w:color w:val="auto"/>
        </w:rPr>
        <w:t xml:space="preserve">employer work made for hire, otherwise, according to Mattel’s logic, there would not be a need for a human capital contract. </w:t>
      </w:r>
      <w:r w:rsidR="002318AA" w:rsidRPr="00DD1543">
        <w:rPr>
          <w:rFonts w:hAnsi="Times New Roman" w:cs="Times New Roman"/>
          <w:color w:val="auto"/>
        </w:rPr>
        <w:t xml:space="preserve">Judge Kozinski rejected Mattel’s simplified version of IP/contract nexus: </w:t>
      </w:r>
    </w:p>
    <w:p w14:paraId="15C83047" w14:textId="77777777" w:rsidR="007F1F19" w:rsidRPr="00DD1543" w:rsidRDefault="002318AA">
      <w:pPr>
        <w:shd w:val="clear" w:color="auto" w:fill="FFFFFF"/>
        <w:spacing w:before="100" w:after="100"/>
        <w:ind w:left="720" w:right="720" w:firstLine="0"/>
        <w:rPr>
          <w:rFonts w:hAnsi="Times New Roman" w:cs="Times New Roman"/>
          <w:color w:val="auto"/>
        </w:rPr>
      </w:pPr>
      <w:r w:rsidRPr="00DD1543">
        <w:rPr>
          <w:rFonts w:hAnsi="Times New Roman" w:cs="Times New Roman"/>
          <w:color w:val="auto"/>
        </w:rPr>
        <w:t>Mattel argues that because employers are already considered the authors of works made for hire under the Copyright Act, 17 U.S.C. § 201(b), the agreement must cover works made outside the scope of employment. Otherwise, employees would be assigning to Mattel works the company already owns. But the contract provides Mattel additional rights by covering more than just copyrightable works.</w:t>
      </w:r>
      <w:r w:rsidRPr="00DD1543">
        <w:rPr>
          <w:rFonts w:hAnsi="Times New Roman" w:cs="Times New Roman"/>
          <w:color w:val="auto"/>
          <w:vertAlign w:val="superscript"/>
        </w:rPr>
        <w:footnoteReference w:id="111"/>
      </w:r>
    </w:p>
    <w:p w14:paraId="3BF0C47F" w14:textId="77777777" w:rsidR="007F1F19" w:rsidRPr="00DD1543" w:rsidRDefault="007B2AC5" w:rsidP="006107D5">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In other words, the mere existence of an assignment agreement is not enough to expand the legal contours of IP ownership. </w:t>
      </w:r>
      <w:r w:rsidR="00B576E8">
        <w:rPr>
          <w:rFonts w:hAnsi="Times New Roman" w:cs="Times New Roman"/>
          <w:color w:val="auto"/>
        </w:rPr>
        <w:t>At the same time</w:t>
      </w:r>
      <w:r w:rsidR="000E34EE">
        <w:rPr>
          <w:rFonts w:hAnsi="Times New Roman" w:cs="Times New Roman"/>
          <w:color w:val="auto"/>
        </w:rPr>
        <w:t>, Judge Kozinski took no issue with expansion by contract as long as it is clearly drafted with specific language</w:t>
      </w:r>
      <w:r w:rsidR="002318AA" w:rsidRPr="00DD1543">
        <w:rPr>
          <w:rFonts w:hAnsi="Times New Roman" w:cs="Times New Roman"/>
          <w:color w:val="auto"/>
        </w:rPr>
        <w:t>. Judge Kozinski</w:t>
      </w:r>
      <w:r w:rsidR="000A41F1">
        <w:rPr>
          <w:rFonts w:hAnsi="Times New Roman" w:cs="Times New Roman"/>
          <w:color w:val="auto"/>
        </w:rPr>
        <w:t xml:space="preserve"> </w:t>
      </w:r>
      <w:r w:rsidR="002C0D46">
        <w:rPr>
          <w:rFonts w:hAnsi="Times New Roman" w:cs="Times New Roman"/>
          <w:color w:val="auto"/>
        </w:rPr>
        <w:t xml:space="preserve">thereby </w:t>
      </w:r>
      <w:r w:rsidR="002318AA" w:rsidRPr="00DD1543">
        <w:rPr>
          <w:rFonts w:hAnsi="Times New Roman" w:cs="Times New Roman"/>
          <w:color w:val="auto"/>
        </w:rPr>
        <w:t xml:space="preserve">remanded the case so the lower court could examine the ambiguous contract by looking at past practices and industry norms. Judge Kozinski accepted the expansion of </w:t>
      </w:r>
      <w:r w:rsidR="002C0D46">
        <w:rPr>
          <w:rFonts w:hAnsi="Times New Roman" w:cs="Times New Roman"/>
          <w:color w:val="auto"/>
        </w:rPr>
        <w:t>innovation ownership</w:t>
      </w:r>
      <w:r w:rsidR="002318AA" w:rsidRPr="00DD1543">
        <w:rPr>
          <w:rFonts w:hAnsi="Times New Roman" w:cs="Times New Roman"/>
          <w:color w:val="auto"/>
        </w:rPr>
        <w:t xml:space="preserve"> by contract</w:t>
      </w:r>
      <w:r w:rsidR="002C0D46">
        <w:rPr>
          <w:rFonts w:hAnsi="Times New Roman" w:cs="Times New Roman"/>
          <w:color w:val="auto"/>
        </w:rPr>
        <w:t xml:space="preserve"> beyond what IP doctrine provides</w:t>
      </w:r>
      <w:r w:rsidR="002318AA" w:rsidRPr="00DD1543">
        <w:rPr>
          <w:rFonts w:hAnsi="Times New Roman" w:cs="Times New Roman"/>
          <w:color w:val="auto"/>
        </w:rPr>
        <w:t xml:space="preserve"> but urged the use of </w:t>
      </w:r>
      <w:r w:rsidR="006107D5">
        <w:rPr>
          <w:rFonts w:hAnsi="Times New Roman" w:cs="Times New Roman"/>
          <w:color w:val="auto"/>
        </w:rPr>
        <w:t>direct</w:t>
      </w:r>
      <w:r w:rsidR="002318AA" w:rsidRPr="00DD1543">
        <w:rPr>
          <w:rFonts w:hAnsi="Times New Roman" w:cs="Times New Roman"/>
          <w:color w:val="auto"/>
        </w:rPr>
        <w:t xml:space="preserve"> language,</w:t>
      </w:r>
      <w:r w:rsidR="00302452">
        <w:rPr>
          <w:rFonts w:hAnsi="Times New Roman" w:cs="Times New Roman"/>
          <w:color w:val="auto"/>
        </w:rPr>
        <w:t xml:space="preserve"> thereby setting</w:t>
      </w:r>
      <w:r w:rsidR="002318AA" w:rsidRPr="00DD1543">
        <w:rPr>
          <w:rFonts w:hAnsi="Times New Roman" w:cs="Times New Roman"/>
          <w:color w:val="auto"/>
        </w:rPr>
        <w:t xml:space="preserve"> a corporate learning curve for effectively erecting cognitive fences. </w:t>
      </w:r>
    </w:p>
    <w:p w14:paraId="1EAF1887" w14:textId="6A2A2F56" w:rsidR="00E07D54" w:rsidRDefault="00AF34DC" w:rsidP="00E07D54">
      <w:pPr>
        <w:spacing w:before="100" w:after="10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While some states delineate some limits on assignment contracts, most states allow for an expanding </w:t>
      </w:r>
      <w:r w:rsidR="002318AA" w:rsidRPr="009071B5">
        <w:rPr>
          <w:rFonts w:hAnsi="Times New Roman" w:cs="Times New Roman"/>
          <w:color w:val="auto"/>
        </w:rPr>
        <w:t>requirement to relinquish all rights of invention during the term of employment.</w:t>
      </w:r>
      <w:r w:rsidR="00CF34B2" w:rsidRPr="009071B5">
        <w:rPr>
          <w:rStyle w:val="FootnoteReference"/>
          <w:rFonts w:hAnsi="Times New Roman" w:cs="Times New Roman"/>
          <w:color w:val="auto"/>
        </w:rPr>
        <w:footnoteReference w:id="112"/>
      </w:r>
      <w:r w:rsidR="002318AA" w:rsidRPr="009071B5">
        <w:rPr>
          <w:rFonts w:hAnsi="Times New Roman" w:cs="Times New Roman"/>
          <w:color w:val="auto"/>
        </w:rPr>
        <w:t xml:space="preserve"> </w:t>
      </w:r>
      <w:r w:rsidR="00E07D54" w:rsidRPr="009071B5">
        <w:rPr>
          <w:rFonts w:hAnsi="Times New Roman" w:cs="Times New Roman"/>
          <w:color w:val="auto"/>
        </w:rPr>
        <w:t>Even those states that limit certain types of assignment</w:t>
      </w:r>
      <w:r w:rsidR="009071B5" w:rsidRPr="009071B5">
        <w:rPr>
          <w:rFonts w:hAnsi="Times New Roman" w:cs="Times New Roman"/>
          <w:color w:val="auto"/>
        </w:rPr>
        <w:t xml:space="preserve"> </w:t>
      </w:r>
      <w:r w:rsidR="00E07D54" w:rsidRPr="009071B5">
        <w:rPr>
          <w:rFonts w:hAnsi="Times New Roman" w:cs="Times New Roman"/>
          <w:color w:val="auto"/>
        </w:rPr>
        <w:t>in practice provide a very narrow restriction on assignment.</w:t>
      </w:r>
      <w:r w:rsidR="00E07D54">
        <w:rPr>
          <w:rFonts w:hAnsi="Times New Roman" w:cs="Times New Roman"/>
          <w:color w:val="auto"/>
        </w:rPr>
        <w:t xml:space="preserve"> </w:t>
      </w:r>
      <w:r w:rsidR="00E07D54" w:rsidRPr="00DD1543">
        <w:rPr>
          <w:rFonts w:hAnsi="Times New Roman" w:cs="Times New Roman"/>
          <w:color w:val="auto"/>
        </w:rPr>
        <w:t>California</w:t>
      </w:r>
      <w:r w:rsidR="00BC6C48">
        <w:rPr>
          <w:rFonts w:hAnsi="Times New Roman" w:cs="Times New Roman"/>
          <w:color w:val="auto"/>
        </w:rPr>
        <w:t xml:space="preserve">, one of the states that delimit the scope of pre-invention assignment, </w:t>
      </w:r>
      <w:r w:rsidR="00E07D54" w:rsidRPr="00DD1543">
        <w:rPr>
          <w:rFonts w:hAnsi="Times New Roman" w:cs="Times New Roman"/>
          <w:color w:val="auto"/>
        </w:rPr>
        <w:t xml:space="preserve">states </w:t>
      </w:r>
      <w:r w:rsidR="00BC6C48">
        <w:rPr>
          <w:rFonts w:hAnsi="Times New Roman" w:cs="Times New Roman"/>
          <w:color w:val="auto"/>
        </w:rPr>
        <w:t xml:space="preserve">in its Labor Code </w:t>
      </w:r>
      <w:r w:rsidR="00E07D54" w:rsidRPr="00DD1543">
        <w:rPr>
          <w:rFonts w:hAnsi="Times New Roman" w:cs="Times New Roman"/>
          <w:color w:val="auto"/>
        </w:rPr>
        <w:t>that an employment agreement requiring an employee to transfer her rights to an invention is not enforceable if the invention was developed entirely on her own time and without using employer resources or trade secrets, unless the invention was anticipated as part of the job for which she was hired.</w:t>
      </w:r>
      <w:r w:rsidR="00E07D54" w:rsidRPr="00DD1543">
        <w:rPr>
          <w:rFonts w:hAnsi="Times New Roman" w:cs="Times New Roman"/>
          <w:color w:val="auto"/>
          <w:vertAlign w:val="superscript"/>
        </w:rPr>
        <w:footnoteReference w:id="113"/>
      </w:r>
      <w:r w:rsidR="00E07D54" w:rsidRPr="00DD1543">
        <w:rPr>
          <w:rFonts w:hAnsi="Times New Roman" w:cs="Times New Roman"/>
          <w:color w:val="auto"/>
        </w:rPr>
        <w:t xml:space="preserve"> </w:t>
      </w:r>
      <w:r w:rsidR="00E07D54">
        <w:rPr>
          <w:rFonts w:hAnsi="Times New Roman" w:cs="Times New Roman"/>
          <w:color w:val="auto"/>
        </w:rPr>
        <w:t xml:space="preserve">In the context of Google for example, this narrow exception becomes particularly mute. As one recent Google hire described, </w:t>
      </w:r>
    </w:p>
    <w:p w14:paraId="3E4CA518" w14:textId="77777777" w:rsidR="00E07D54" w:rsidRPr="00DD1543" w:rsidRDefault="00E07D54" w:rsidP="00E07D54">
      <w:pPr>
        <w:spacing w:before="100" w:after="100"/>
        <w:ind w:left="720" w:firstLine="0"/>
        <w:rPr>
          <w:rFonts w:hAnsi="Times New Roman" w:cs="Times New Roman"/>
          <w:color w:val="auto"/>
        </w:rPr>
      </w:pPr>
      <w:r w:rsidRPr="00DD1543">
        <w:rPr>
          <w:rFonts w:hAnsi="Times New Roman" w:cs="Times New Roman"/>
          <w:color w:val="auto"/>
        </w:rPr>
        <w:t>Google is gigantic and has teams working on virtually everything (including things they're not known for like games, education, flying magnets, etc.), even if these interests are a tiny fraction of the company. Thus it seems they could claim just about anything.”</w:t>
      </w:r>
      <w:r>
        <w:rPr>
          <w:rStyle w:val="FootnoteReference"/>
          <w:rFonts w:hAnsi="Times New Roman" w:cs="Times New Roman"/>
          <w:color w:val="auto"/>
        </w:rPr>
        <w:footnoteReference w:id="114"/>
      </w:r>
    </w:p>
    <w:p w14:paraId="1D667073" w14:textId="77777777" w:rsidR="007F1F19" w:rsidRDefault="00E07D54" w:rsidP="007F4AF0">
      <w:pPr>
        <w:ind w:firstLine="0"/>
        <w:rPr>
          <w:rFonts w:hAnsi="Times New Roman" w:cs="Times New Roman"/>
          <w:color w:val="auto"/>
        </w:rPr>
      </w:pPr>
      <w:r>
        <w:rPr>
          <w:rFonts w:hAnsi="Times New Roman" w:cs="Times New Roman"/>
          <w:color w:val="auto"/>
        </w:rPr>
        <w:t>In the contemporary knowledge</w:t>
      </w:r>
      <w:r w:rsidR="007F4AF0">
        <w:rPr>
          <w:rFonts w:hAnsi="Times New Roman" w:cs="Times New Roman"/>
          <w:color w:val="auto"/>
        </w:rPr>
        <w:t xml:space="preserve"> economy</w:t>
      </w:r>
      <w:r>
        <w:rPr>
          <w:rFonts w:hAnsi="Times New Roman" w:cs="Times New Roman"/>
          <w:color w:val="auto"/>
        </w:rPr>
        <w:t>, almost any innovation</w:t>
      </w:r>
      <w:r w:rsidR="007F4AF0">
        <w:rPr>
          <w:rFonts w:hAnsi="Times New Roman" w:cs="Times New Roman"/>
          <w:color w:val="auto"/>
        </w:rPr>
        <w:t xml:space="preserve"> can be construed as related to the firm thereby rendering most exceptions irrelevant. Relatedly, in today’s patterns of work, in which employees are expected to be connected </w:t>
      </w:r>
      <w:r w:rsidR="00513A12">
        <w:rPr>
          <w:rFonts w:hAnsi="Times New Roman" w:cs="Times New Roman"/>
          <w:color w:val="auto"/>
        </w:rPr>
        <w:t>to the workplace around the clock through remote electronic devices</w:t>
      </w:r>
      <w:r w:rsidR="007F4AF0">
        <w:rPr>
          <w:rFonts w:hAnsi="Times New Roman" w:cs="Times New Roman"/>
          <w:color w:val="auto"/>
        </w:rPr>
        <w:t xml:space="preserve">, work time appears to be timeless and </w:t>
      </w:r>
      <w:r w:rsidR="00200CDB">
        <w:rPr>
          <w:rFonts w:hAnsi="Times New Roman" w:cs="Times New Roman"/>
          <w:color w:val="auto"/>
        </w:rPr>
        <w:t>without boundaries</w:t>
      </w:r>
      <w:r w:rsidR="007F4AF0">
        <w:rPr>
          <w:rFonts w:hAnsi="Times New Roman" w:cs="Times New Roman"/>
          <w:color w:val="auto"/>
        </w:rPr>
        <w:t>. Thus, e</w:t>
      </w:r>
      <w:r w:rsidR="002318AA" w:rsidRPr="00DD1543">
        <w:rPr>
          <w:rFonts w:hAnsi="Times New Roman" w:cs="Times New Roman"/>
          <w:color w:val="auto"/>
        </w:rPr>
        <w:t xml:space="preserve">ven in the absence of an invention assignment contract, </w:t>
      </w:r>
      <w:r w:rsidR="000A41F1">
        <w:rPr>
          <w:rFonts w:hAnsi="Times New Roman" w:cs="Times New Roman"/>
          <w:color w:val="auto"/>
        </w:rPr>
        <w:t xml:space="preserve">courts have broadly interpreted </w:t>
      </w:r>
      <w:r w:rsidR="002318AA" w:rsidRPr="00DD1543">
        <w:rPr>
          <w:rFonts w:hAnsi="Times New Roman" w:cs="Times New Roman"/>
          <w:color w:val="auto"/>
        </w:rPr>
        <w:t>the doctrine of hired-to-invent to include work done at home.</w:t>
      </w:r>
      <w:r w:rsidR="009B135A">
        <w:rPr>
          <w:rFonts w:hAnsi="Times New Roman" w:cs="Times New Roman"/>
          <w:color w:val="auto"/>
        </w:rPr>
        <w:t xml:space="preserve"> </w:t>
      </w:r>
      <w:r w:rsidR="002318AA" w:rsidRPr="00DD1543">
        <w:rPr>
          <w:rFonts w:hAnsi="Times New Roman" w:cs="Times New Roman"/>
          <w:color w:val="auto"/>
        </w:rPr>
        <w:t xml:space="preserve">For example, </w:t>
      </w:r>
      <w:r w:rsidR="00AA5D04">
        <w:rPr>
          <w:rFonts w:hAnsi="Times New Roman" w:cs="Times New Roman"/>
          <w:color w:val="auto"/>
        </w:rPr>
        <w:t>the employer can own original sketches of an invention made by an employee at his home</w:t>
      </w:r>
      <w:r w:rsidR="002318AA" w:rsidRPr="00DD1543">
        <w:rPr>
          <w:rFonts w:hAnsi="Times New Roman" w:cs="Times New Roman"/>
          <w:color w:val="auto"/>
        </w:rPr>
        <w:t xml:space="preserve"> because the company had tasked him with inventing the process at issue.</w:t>
      </w:r>
      <w:r w:rsidR="002318AA" w:rsidRPr="00DD1543">
        <w:rPr>
          <w:rFonts w:eastAsia="Times New Roman" w:hAnsi="Times New Roman" w:cs="Times New Roman"/>
          <w:color w:val="auto"/>
          <w:vertAlign w:val="superscript"/>
        </w:rPr>
        <w:footnoteReference w:id="115"/>
      </w:r>
      <w:r w:rsidR="002318AA" w:rsidRPr="00DD1543">
        <w:rPr>
          <w:rFonts w:hAnsi="Times New Roman" w:cs="Times New Roman"/>
          <w:color w:val="auto"/>
        </w:rPr>
        <w:t xml:space="preserve"> To be on the safe side, companies explicitly draft the assignment contract to include work done during off hours. </w:t>
      </w:r>
      <w:r w:rsidR="002318AA" w:rsidRPr="00DD1543">
        <w:rPr>
          <w:rFonts w:hAnsi="Times New Roman" w:cs="Times New Roman"/>
          <w:color w:val="auto"/>
          <w:u w:color="282828"/>
        </w:rPr>
        <w:t>Google</w:t>
      </w:r>
      <w:r w:rsidR="005C5176">
        <w:rPr>
          <w:rFonts w:hAnsi="Times New Roman" w:cs="Times New Roman"/>
          <w:color w:val="auto"/>
          <w:u w:color="282828"/>
        </w:rPr>
        <w:t>,</w:t>
      </w:r>
      <w:r w:rsidR="002318AA" w:rsidRPr="00DD1543">
        <w:rPr>
          <w:rFonts w:hAnsi="Times New Roman" w:cs="Times New Roman"/>
          <w:color w:val="auto"/>
          <w:u w:color="282828"/>
        </w:rPr>
        <w:t xml:space="preserve"> for example</w:t>
      </w:r>
      <w:r w:rsidR="005C5176">
        <w:rPr>
          <w:rFonts w:hAnsi="Times New Roman" w:cs="Times New Roman"/>
          <w:color w:val="auto"/>
          <w:u w:color="282828"/>
        </w:rPr>
        <w:t>,</w:t>
      </w:r>
      <w:r w:rsidR="002318AA" w:rsidRPr="00DD1543">
        <w:rPr>
          <w:rFonts w:hAnsi="Times New Roman" w:cs="Times New Roman"/>
          <w:color w:val="auto"/>
          <w:u w:color="282828"/>
        </w:rPr>
        <w:t xml:space="preserve"> explicitly encompasses weekends and nights into its standard assignment agreement, stating</w:t>
      </w:r>
      <w:r w:rsidR="005C5176">
        <w:rPr>
          <w:rFonts w:hAnsi="Times New Roman" w:cs="Times New Roman"/>
          <w:color w:val="auto"/>
          <w:u w:color="282828"/>
        </w:rPr>
        <w:t>,</w:t>
      </w:r>
      <w:r w:rsidR="002318AA" w:rsidRPr="00DD1543">
        <w:rPr>
          <w:rFonts w:hAnsi="Times New Roman" w:cs="Times New Roman"/>
          <w:color w:val="auto"/>
          <w:u w:color="282828"/>
        </w:rPr>
        <w:t xml:space="preserve"> “</w:t>
      </w:r>
      <w:r w:rsidR="002318AA" w:rsidRPr="00DD1543">
        <w:rPr>
          <w:rFonts w:hAnsi="Times New Roman" w:cs="Times New Roman"/>
          <w:color w:val="auto"/>
        </w:rPr>
        <w:t>Google Inc. will own all Inventions that I invented, developed, reduced to practice, or otherwise contributed to, solely or jointly with others, during my employment with Google (</w:t>
      </w:r>
      <w:r w:rsidR="002318AA" w:rsidRPr="001E4A35">
        <w:rPr>
          <w:rFonts w:hAnsi="Times New Roman" w:cs="Times New Roman"/>
          <w:i/>
          <w:iCs/>
          <w:color w:val="auto"/>
        </w:rPr>
        <w:t>including during my off-duty hours</w:t>
      </w:r>
      <w:r>
        <w:rPr>
          <w:rFonts w:hAnsi="Times New Roman" w:cs="Times New Roman"/>
          <w:color w:val="auto"/>
        </w:rPr>
        <w:t>).</w:t>
      </w:r>
      <w:r w:rsidR="001E4A35">
        <w:rPr>
          <w:rFonts w:hAnsi="Times New Roman" w:cs="Times New Roman"/>
          <w:color w:val="auto"/>
        </w:rPr>
        <w:t>”</w:t>
      </w:r>
      <w:r w:rsidR="00B1684D">
        <w:rPr>
          <w:rStyle w:val="FootnoteReference"/>
          <w:rFonts w:hAnsi="Times New Roman" w:cs="Times New Roman"/>
          <w:color w:val="auto"/>
        </w:rPr>
        <w:footnoteReference w:id="116"/>
      </w:r>
    </w:p>
    <w:p w14:paraId="7DF4A060" w14:textId="77777777" w:rsidR="00E07D54" w:rsidRPr="00DD1543" w:rsidRDefault="00E07D54" w:rsidP="00E07D54">
      <w:pPr>
        <w:ind w:firstLine="0"/>
        <w:rPr>
          <w:rFonts w:hAnsi="Times New Roman" w:cs="Times New Roman"/>
          <w:color w:val="auto"/>
        </w:rPr>
      </w:pPr>
    </w:p>
    <w:p w14:paraId="2CB97059" w14:textId="77777777" w:rsidR="00FF6CAD" w:rsidRDefault="00096754" w:rsidP="00096754">
      <w:pPr>
        <w:ind w:firstLine="0"/>
        <w:rPr>
          <w:rFonts w:hAnsi="Times New Roman" w:cs="Times New Roman"/>
          <w:color w:val="auto"/>
        </w:rPr>
      </w:pPr>
      <w:r>
        <w:rPr>
          <w:rFonts w:hAnsi="Times New Roman" w:cs="Times New Roman"/>
          <w:color w:val="auto"/>
        </w:rPr>
        <w:tab/>
      </w:r>
      <w:r w:rsidR="00E07D54">
        <w:rPr>
          <w:rFonts w:hAnsi="Times New Roman" w:cs="Times New Roman"/>
          <w:color w:val="auto"/>
        </w:rPr>
        <w:t>Traditionally, IP</w:t>
      </w:r>
      <w:r w:rsidR="002318AA" w:rsidRPr="00DD1543">
        <w:rPr>
          <w:rFonts w:hAnsi="Times New Roman" w:cs="Times New Roman"/>
          <w:color w:val="auto"/>
        </w:rPr>
        <w:t xml:space="preserve"> law attem</w:t>
      </w:r>
      <w:r w:rsidR="00E07D54">
        <w:rPr>
          <w:rFonts w:hAnsi="Times New Roman" w:cs="Times New Roman"/>
          <w:color w:val="auto"/>
        </w:rPr>
        <w:t>pted to incentivize employee</w:t>
      </w:r>
      <w:r w:rsidR="002318AA" w:rsidRPr="00DD1543">
        <w:rPr>
          <w:rFonts w:hAnsi="Times New Roman" w:cs="Times New Roman"/>
          <w:color w:val="auto"/>
        </w:rPr>
        <w:t xml:space="preserve"> invent</w:t>
      </w:r>
      <w:r w:rsidR="00E07D54">
        <w:rPr>
          <w:rFonts w:hAnsi="Times New Roman" w:cs="Times New Roman"/>
          <w:color w:val="auto"/>
        </w:rPr>
        <w:t>ion by</w:t>
      </w:r>
      <w:r w:rsidR="002318AA" w:rsidRPr="00DD1543">
        <w:rPr>
          <w:rFonts w:hAnsi="Times New Roman" w:cs="Times New Roman"/>
          <w:color w:val="auto"/>
        </w:rPr>
        <w:t xml:space="preserve"> striking </w:t>
      </w:r>
      <w:r w:rsidR="00E07D54">
        <w:rPr>
          <w:rFonts w:hAnsi="Times New Roman" w:cs="Times New Roman"/>
          <w:color w:val="auto"/>
        </w:rPr>
        <w:t>the</w:t>
      </w:r>
      <w:r w:rsidR="002318AA" w:rsidRPr="00DD1543">
        <w:rPr>
          <w:rFonts w:hAnsi="Times New Roman" w:cs="Times New Roman"/>
          <w:color w:val="auto"/>
        </w:rPr>
        <w:t xml:space="preserve"> balance </w:t>
      </w:r>
      <w:r w:rsidR="00E07D54">
        <w:rPr>
          <w:rFonts w:hAnsi="Times New Roman" w:cs="Times New Roman"/>
          <w:color w:val="auto"/>
        </w:rPr>
        <w:t>of granting</w:t>
      </w:r>
      <w:r w:rsidR="002318AA" w:rsidRPr="00DD1543">
        <w:rPr>
          <w:rFonts w:hAnsi="Times New Roman" w:cs="Times New Roman"/>
          <w:color w:val="auto"/>
        </w:rPr>
        <w:t xml:space="preserve"> the employee’s ownership</w:t>
      </w:r>
      <w:r w:rsidR="00E07D54">
        <w:rPr>
          <w:rFonts w:hAnsi="Times New Roman" w:cs="Times New Roman"/>
          <w:color w:val="auto"/>
        </w:rPr>
        <w:t xml:space="preserve"> over most innovation</w:t>
      </w:r>
      <w:r w:rsidR="002318AA" w:rsidRPr="00DD1543">
        <w:rPr>
          <w:rFonts w:hAnsi="Times New Roman" w:cs="Times New Roman"/>
          <w:color w:val="auto"/>
        </w:rPr>
        <w:t xml:space="preserve"> and </w:t>
      </w:r>
      <w:r w:rsidR="00E07D54">
        <w:rPr>
          <w:rFonts w:hAnsi="Times New Roman" w:cs="Times New Roman"/>
          <w:color w:val="auto"/>
        </w:rPr>
        <w:t xml:space="preserve">providing the employer </w:t>
      </w:r>
      <w:r w:rsidR="002318AA" w:rsidRPr="00DD1543">
        <w:rPr>
          <w:rFonts w:hAnsi="Times New Roman" w:cs="Times New Roman"/>
          <w:color w:val="auto"/>
        </w:rPr>
        <w:t>a partial stake in the inven</w:t>
      </w:r>
      <w:r w:rsidR="00E07D54">
        <w:rPr>
          <w:rFonts w:hAnsi="Times New Roman" w:cs="Times New Roman"/>
          <w:color w:val="auto"/>
        </w:rPr>
        <w:t xml:space="preserve">tion, termed </w:t>
      </w:r>
      <w:r w:rsidR="00E07D54" w:rsidRPr="00E07D54">
        <w:rPr>
          <w:rFonts w:hAnsi="Times New Roman" w:cs="Times New Roman"/>
          <w:i/>
          <w:iCs/>
          <w:color w:val="auto"/>
        </w:rPr>
        <w:t>shop-right</w:t>
      </w:r>
      <w:r w:rsidR="00E07D54">
        <w:rPr>
          <w:rFonts w:hAnsi="Times New Roman" w:cs="Times New Roman"/>
          <w:color w:val="auto"/>
        </w:rPr>
        <w:t>.</w:t>
      </w:r>
      <w:r w:rsidR="002318AA" w:rsidRPr="00DD1543">
        <w:rPr>
          <w:rFonts w:hAnsi="Times New Roman" w:cs="Times New Roman"/>
          <w:color w:val="auto"/>
        </w:rPr>
        <w:t xml:space="preserve"> </w:t>
      </w:r>
      <w:r w:rsidR="00E07D54">
        <w:rPr>
          <w:rFonts w:hAnsi="Times New Roman" w:cs="Times New Roman"/>
          <w:color w:val="auto"/>
        </w:rPr>
        <w:t>The shop-right is</w:t>
      </w:r>
      <w:r w:rsidR="002318AA" w:rsidRPr="00DD1543">
        <w:rPr>
          <w:rFonts w:hAnsi="Times New Roman" w:cs="Times New Roman"/>
          <w:color w:val="auto"/>
        </w:rPr>
        <w:t xml:space="preserve"> an implied license granted by the inventor to </w:t>
      </w:r>
      <w:r w:rsidR="00E07D54">
        <w:rPr>
          <w:rFonts w:hAnsi="Times New Roman" w:cs="Times New Roman"/>
          <w:color w:val="auto"/>
        </w:rPr>
        <w:t>her employer</w:t>
      </w:r>
      <w:r w:rsidR="002318AA" w:rsidRPr="00DD1543">
        <w:rPr>
          <w:rFonts w:hAnsi="Times New Roman" w:cs="Times New Roman"/>
          <w:color w:val="auto"/>
        </w:rPr>
        <w:t xml:space="preserve"> to use an invention</w:t>
      </w:r>
      <w:r w:rsidR="00CB12B4">
        <w:rPr>
          <w:rFonts w:hAnsi="Times New Roman" w:cs="Times New Roman"/>
          <w:color w:val="auto"/>
        </w:rPr>
        <w:t xml:space="preserve"> created outside the scope of the employee’s duties when the invention is </w:t>
      </w:r>
      <w:r w:rsidR="002318AA" w:rsidRPr="00DD1543">
        <w:rPr>
          <w:rFonts w:hAnsi="Times New Roman" w:cs="Times New Roman"/>
          <w:color w:val="auto"/>
        </w:rPr>
        <w:t xml:space="preserve">related to the company and </w:t>
      </w:r>
      <w:r w:rsidR="00CB12B4">
        <w:rPr>
          <w:rFonts w:hAnsi="Times New Roman" w:cs="Times New Roman"/>
          <w:color w:val="auto"/>
        </w:rPr>
        <w:t>the work environment contributed to its creation</w:t>
      </w:r>
      <w:r w:rsidR="002318AA" w:rsidRPr="00DD1543">
        <w:rPr>
          <w:rFonts w:hAnsi="Times New Roman" w:cs="Times New Roman"/>
          <w:color w:val="auto"/>
        </w:rPr>
        <w:t>.</w:t>
      </w:r>
      <w:r w:rsidR="002318AA" w:rsidRPr="00DD1543">
        <w:rPr>
          <w:rFonts w:hAnsi="Times New Roman" w:cs="Times New Roman"/>
          <w:color w:val="auto"/>
          <w:vertAlign w:val="superscript"/>
        </w:rPr>
        <w:footnoteReference w:id="117"/>
      </w:r>
      <w:r w:rsidR="002318AA" w:rsidRPr="00DD1543">
        <w:rPr>
          <w:rFonts w:hAnsi="Times New Roman" w:cs="Times New Roman"/>
          <w:color w:val="auto"/>
        </w:rPr>
        <w:t xml:space="preserve"> Today, this doctrine is becoming obsolete because</w:t>
      </w:r>
      <w:r w:rsidR="00E07D54">
        <w:rPr>
          <w:rFonts w:hAnsi="Times New Roman" w:cs="Times New Roman"/>
          <w:color w:val="auto"/>
        </w:rPr>
        <w:t xml:space="preserve"> the</w:t>
      </w:r>
      <w:r w:rsidR="002318AA" w:rsidRPr="00DD1543">
        <w:rPr>
          <w:rFonts w:hAnsi="Times New Roman" w:cs="Times New Roman"/>
          <w:color w:val="auto"/>
        </w:rPr>
        <w:t xml:space="preserve"> expansion</w:t>
      </w:r>
      <w:r w:rsidR="00E07D54">
        <w:rPr>
          <w:rFonts w:hAnsi="Times New Roman" w:cs="Times New Roman"/>
          <w:color w:val="auto"/>
        </w:rPr>
        <w:t xml:space="preserve"> by contract of corporate ownership </w:t>
      </w:r>
      <w:r w:rsidR="002318AA" w:rsidRPr="00DD1543">
        <w:rPr>
          <w:rFonts w:hAnsi="Times New Roman" w:cs="Times New Roman"/>
          <w:color w:val="auto"/>
        </w:rPr>
        <w:t xml:space="preserve">has tipped the balance to include innovation far beyond work-for-hire and hire-to-invent. </w:t>
      </w:r>
      <w:r w:rsidR="00FF6CAD">
        <w:rPr>
          <w:rFonts w:hAnsi="Times New Roman" w:cs="Times New Roman"/>
          <w:color w:val="auto"/>
        </w:rPr>
        <w:t>In the contemporary labor market</w:t>
      </w:r>
      <w:r w:rsidR="00E07D54">
        <w:rPr>
          <w:rFonts w:hAnsi="Times New Roman" w:cs="Times New Roman"/>
          <w:color w:val="auto"/>
        </w:rPr>
        <w:t>, even i</w:t>
      </w:r>
      <w:r w:rsidR="002318AA" w:rsidRPr="00DD1543">
        <w:rPr>
          <w:rFonts w:hAnsi="Times New Roman" w:cs="Times New Roman"/>
          <w:color w:val="auto"/>
        </w:rPr>
        <w:t>n the absence of a signed contract, some courts allow pre-innovation assignments via oral or implied agreements.</w:t>
      </w:r>
      <w:r w:rsidR="002318AA" w:rsidRPr="00DD1543">
        <w:rPr>
          <w:rFonts w:hAnsi="Times New Roman" w:cs="Times New Roman"/>
          <w:color w:val="auto"/>
          <w:vertAlign w:val="superscript"/>
        </w:rPr>
        <w:footnoteReference w:id="118"/>
      </w:r>
      <w:r w:rsidR="002318AA" w:rsidRPr="00DD1543">
        <w:rPr>
          <w:rFonts w:hAnsi="Times New Roman" w:cs="Times New Roman"/>
          <w:color w:val="auto"/>
        </w:rPr>
        <w:t xml:space="preserve"> </w:t>
      </w:r>
    </w:p>
    <w:p w14:paraId="6117C858" w14:textId="77777777" w:rsidR="007F1F19" w:rsidRDefault="007F1F19" w:rsidP="00E07D54">
      <w:pPr>
        <w:ind w:firstLine="720"/>
        <w:rPr>
          <w:rFonts w:hAnsi="Times New Roman" w:cs="Times New Roman"/>
          <w:color w:val="auto"/>
        </w:rPr>
      </w:pPr>
    </w:p>
    <w:p w14:paraId="686DB2C8" w14:textId="77777777" w:rsidR="007F1F19" w:rsidRPr="00DD1543" w:rsidRDefault="007F1F19">
      <w:pPr>
        <w:rPr>
          <w:rFonts w:hAnsi="Times New Roman" w:cs="Times New Roman"/>
          <w:color w:val="auto"/>
        </w:rPr>
      </w:pPr>
    </w:p>
    <w:p w14:paraId="53708230" w14:textId="77777777" w:rsidR="00C87838" w:rsidRPr="00DD1543" w:rsidRDefault="00C87838">
      <w:pPr>
        <w:rPr>
          <w:rFonts w:hAnsi="Times New Roman" w:cs="Times New Roman"/>
          <w:color w:val="auto"/>
        </w:rPr>
      </w:pPr>
    </w:p>
    <w:p w14:paraId="1E3F5BFB" w14:textId="77777777" w:rsidR="00C6515A" w:rsidRPr="00121D12" w:rsidRDefault="00C6515A" w:rsidP="00C6515A">
      <w:pPr>
        <w:pStyle w:val="Heading2"/>
        <w:numPr>
          <w:ilvl w:val="1"/>
          <w:numId w:val="9"/>
        </w:numPr>
        <w:jc w:val="both"/>
        <w:rPr>
          <w:rFonts w:eastAsia="Times New Roman Bold"/>
        </w:rPr>
      </w:pPr>
      <w:bookmarkStart w:id="17" w:name="_Toc399167394"/>
      <w:r>
        <w:rPr>
          <w:rFonts w:eastAsia="Times New Roman Bold"/>
        </w:rPr>
        <w:t>The Partiality/Totality Spectrum: Non-Competes and Non-Competes on Steroids</w:t>
      </w:r>
      <w:bookmarkEnd w:id="17"/>
    </w:p>
    <w:p w14:paraId="7FB87F47" w14:textId="77777777" w:rsidR="007F1F19" w:rsidRPr="00DD1543" w:rsidRDefault="007F1F19">
      <w:pPr>
        <w:ind w:firstLine="720"/>
        <w:rPr>
          <w:rFonts w:hAnsi="Times New Roman" w:cs="Times New Roman"/>
          <w:color w:val="auto"/>
        </w:rPr>
      </w:pPr>
    </w:p>
    <w:p w14:paraId="63F7B17D" w14:textId="77777777" w:rsidR="007F1F19" w:rsidRPr="00E00B5B" w:rsidRDefault="002318AA">
      <w:pPr>
        <w:pStyle w:val="Heading3"/>
        <w:numPr>
          <w:ilvl w:val="2"/>
          <w:numId w:val="14"/>
        </w:numPr>
        <w:rPr>
          <w:color w:val="auto"/>
        </w:rPr>
      </w:pPr>
      <w:bookmarkStart w:id="18" w:name="_Toc399167395"/>
      <w:r w:rsidRPr="001C4EF5">
        <w:rPr>
          <w:color w:val="auto"/>
        </w:rPr>
        <w:t>The Rise of the Post-Employment Covenant Thicket</w:t>
      </w:r>
      <w:bookmarkEnd w:id="18"/>
    </w:p>
    <w:p w14:paraId="3060FB6D" w14:textId="77777777" w:rsidR="007F1F19" w:rsidRPr="00E00B5B" w:rsidRDefault="007F1F19">
      <w:pPr>
        <w:ind w:firstLine="720"/>
        <w:rPr>
          <w:rFonts w:hAnsi="Times New Roman" w:cs="Times New Roman"/>
          <w:color w:val="auto"/>
        </w:rPr>
      </w:pPr>
    </w:p>
    <w:p w14:paraId="139A5779" w14:textId="06BC4F4A" w:rsidR="00540C44" w:rsidRPr="00EE09BC" w:rsidRDefault="00EB1843" w:rsidP="00EB1843">
      <w:pPr>
        <w:ind w:firstLine="0"/>
        <w:rPr>
          <w:rFonts w:hAnsi="Times New Roman"/>
        </w:rPr>
      </w:pPr>
      <w:r>
        <w:rPr>
          <w:rFonts w:hAnsi="Times New Roman"/>
        </w:rPr>
        <w:tab/>
      </w:r>
      <w:r w:rsidR="002318AA" w:rsidRPr="00EE09BC">
        <w:rPr>
          <w:rFonts w:hAnsi="Times New Roman"/>
        </w:rPr>
        <w:t xml:space="preserve">The signing of a non-compete contract has become a standard requirement </w:t>
      </w:r>
      <w:r w:rsidR="00C462A3">
        <w:rPr>
          <w:rFonts w:hAnsi="Times New Roman"/>
        </w:rPr>
        <w:t>in our contemporary labor market. E</w:t>
      </w:r>
      <w:r w:rsidR="002318AA" w:rsidRPr="00EE09BC">
        <w:rPr>
          <w:rFonts w:hAnsi="Times New Roman"/>
        </w:rPr>
        <w:t xml:space="preserve">mployees routinely sign non-competes promising to not work in their profession in the same region for a period of time. </w:t>
      </w:r>
      <w:r w:rsidR="00C462A3">
        <w:rPr>
          <w:rFonts w:hAnsi="Times New Roman"/>
        </w:rPr>
        <w:t xml:space="preserve">The vast majority of senior executives </w:t>
      </w:r>
      <w:r w:rsidR="007D5E28">
        <w:rPr>
          <w:rFonts w:hAnsi="Times New Roman"/>
        </w:rPr>
        <w:t>are bound by</w:t>
      </w:r>
      <w:r w:rsidR="00C462A3">
        <w:rPr>
          <w:rFonts w:hAnsi="Times New Roman"/>
        </w:rPr>
        <w:t xml:space="preserve"> n</w:t>
      </w:r>
      <w:r w:rsidR="002318AA" w:rsidRPr="00EE09BC">
        <w:rPr>
          <w:rFonts w:hAnsi="Times New Roman"/>
        </w:rPr>
        <w:t>on-compete clauses</w:t>
      </w:r>
      <w:r w:rsidR="007D5E28">
        <w:rPr>
          <w:rFonts w:hAnsi="Times New Roman"/>
        </w:rPr>
        <w:t>.</w:t>
      </w:r>
      <w:r w:rsidR="002318AA" w:rsidRPr="00EE09BC">
        <w:rPr>
          <w:rFonts w:hAnsi="Times New Roman"/>
          <w:vertAlign w:val="superscript"/>
        </w:rPr>
        <w:footnoteReference w:id="119"/>
      </w:r>
      <w:r w:rsidR="002318AA" w:rsidRPr="00EE09BC">
        <w:rPr>
          <w:rFonts w:hAnsi="Times New Roman"/>
        </w:rPr>
        <w:t xml:space="preserve"> </w:t>
      </w:r>
      <w:r w:rsidR="007D5E28">
        <w:rPr>
          <w:rFonts w:hAnsi="Times New Roman"/>
        </w:rPr>
        <w:t>At the same time, n</w:t>
      </w:r>
      <w:r w:rsidR="00E17C2C" w:rsidRPr="00EE09BC">
        <w:rPr>
          <w:rFonts w:hAnsi="Times New Roman"/>
        </w:rPr>
        <w:t>on-competes are also on a sharp rise for all non-managerial employees.</w:t>
      </w:r>
      <w:r w:rsidR="002318AA" w:rsidRPr="00EE09BC">
        <w:rPr>
          <w:rFonts w:hAnsi="Times New Roman"/>
          <w:vertAlign w:val="superscript"/>
        </w:rPr>
        <w:footnoteReference w:id="120"/>
      </w:r>
      <w:r w:rsidR="009B135A" w:rsidRPr="00EE09BC">
        <w:rPr>
          <w:rFonts w:hAnsi="Times New Roman"/>
        </w:rPr>
        <w:t xml:space="preserve"> </w:t>
      </w:r>
      <w:r w:rsidR="007D5E28">
        <w:rPr>
          <w:rFonts w:hAnsi="Times New Roman"/>
        </w:rPr>
        <w:t>Workers ranging from</w:t>
      </w:r>
      <w:r w:rsidR="00835B53" w:rsidRPr="00EE09BC">
        <w:rPr>
          <w:rFonts w:hAnsi="Times New Roman"/>
          <w:shd w:val="clear" w:color="auto" w:fill="FFFFFF"/>
        </w:rPr>
        <w:t xml:space="preserve"> event planners</w:t>
      </w:r>
      <w:r w:rsidR="00D71272">
        <w:rPr>
          <w:rFonts w:hAnsi="Times New Roman"/>
          <w:shd w:val="clear" w:color="auto" w:fill="FFFFFF"/>
        </w:rPr>
        <w:t xml:space="preserve"> to </w:t>
      </w:r>
      <w:r w:rsidR="00835B53" w:rsidRPr="00EE09BC">
        <w:rPr>
          <w:rFonts w:hAnsi="Times New Roman"/>
          <w:shd w:val="clear" w:color="auto" w:fill="FFFFFF"/>
        </w:rPr>
        <w:t>chefs</w:t>
      </w:r>
      <w:r w:rsidR="00D71272">
        <w:rPr>
          <w:rFonts w:hAnsi="Times New Roman"/>
          <w:shd w:val="clear" w:color="auto" w:fill="FFFFFF"/>
        </w:rPr>
        <w:t xml:space="preserve">, from </w:t>
      </w:r>
      <w:r w:rsidR="00835B53" w:rsidRPr="00EE09BC">
        <w:rPr>
          <w:rFonts w:hAnsi="Times New Roman"/>
          <w:shd w:val="clear" w:color="auto" w:fill="FFFFFF"/>
        </w:rPr>
        <w:t>investment fund managers</w:t>
      </w:r>
      <w:r w:rsidR="00D71272">
        <w:rPr>
          <w:rFonts w:hAnsi="Times New Roman"/>
          <w:shd w:val="clear" w:color="auto" w:fill="FFFFFF"/>
        </w:rPr>
        <w:t xml:space="preserve"> to</w:t>
      </w:r>
      <w:r w:rsidR="00A01B34">
        <w:rPr>
          <w:rFonts w:hAnsi="Times New Roman"/>
          <w:shd w:val="clear" w:color="auto" w:fill="FFFFFF"/>
        </w:rPr>
        <w:t xml:space="preserve"> </w:t>
      </w:r>
      <w:r w:rsidR="00835B53" w:rsidRPr="00EE09BC">
        <w:rPr>
          <w:rFonts w:hAnsi="Times New Roman"/>
          <w:shd w:val="clear" w:color="auto" w:fill="FFFFFF"/>
        </w:rPr>
        <w:t>yoga instructors</w:t>
      </w:r>
      <w:r w:rsidR="00D71272">
        <w:rPr>
          <w:rFonts w:hAnsi="Times New Roman"/>
          <w:shd w:val="clear" w:color="auto" w:fill="FFFFFF"/>
        </w:rPr>
        <w:t xml:space="preserve">, from </w:t>
      </w:r>
      <w:r w:rsidR="007D5E28">
        <w:rPr>
          <w:rFonts w:hAnsi="Times New Roman"/>
          <w:shd w:val="clear" w:color="auto" w:fill="FFFFFF"/>
        </w:rPr>
        <w:t>physicians</w:t>
      </w:r>
      <w:r w:rsidR="00D71272">
        <w:rPr>
          <w:rFonts w:hAnsi="Times New Roman"/>
          <w:shd w:val="clear" w:color="auto" w:fill="FFFFFF"/>
        </w:rPr>
        <w:t xml:space="preserve"> to c</w:t>
      </w:r>
      <w:r w:rsidR="007D5E28">
        <w:rPr>
          <w:rFonts w:hAnsi="Times New Roman"/>
          <w:shd w:val="clear" w:color="auto" w:fill="FFFFFF"/>
        </w:rPr>
        <w:t>amp counselors</w:t>
      </w:r>
      <w:r w:rsidR="00FF6CAD">
        <w:rPr>
          <w:rFonts w:hAnsi="Times New Roman"/>
          <w:shd w:val="clear" w:color="auto" w:fill="FFFFFF"/>
        </w:rPr>
        <w:t xml:space="preserve"> </w:t>
      </w:r>
      <w:r w:rsidR="00835B53" w:rsidRPr="00EE09BC">
        <w:rPr>
          <w:rFonts w:hAnsi="Times New Roman"/>
          <w:shd w:val="clear" w:color="auto" w:fill="FFFFFF"/>
        </w:rPr>
        <w:t xml:space="preserve">are </w:t>
      </w:r>
      <w:r w:rsidR="00D71272">
        <w:rPr>
          <w:rFonts w:hAnsi="Times New Roman"/>
          <w:shd w:val="clear" w:color="auto" w:fill="FFFFFF"/>
        </w:rPr>
        <w:t xml:space="preserve">all </w:t>
      </w:r>
      <w:r w:rsidR="00835B53" w:rsidRPr="00EE09BC">
        <w:rPr>
          <w:rFonts w:hAnsi="Times New Roman"/>
          <w:shd w:val="clear" w:color="auto" w:fill="FFFFFF"/>
        </w:rPr>
        <w:t>increasingly required to sign them.</w:t>
      </w:r>
      <w:r w:rsidR="00D7190C" w:rsidRPr="00EE09BC">
        <w:rPr>
          <w:rStyle w:val="FootnoteReference"/>
          <w:rFonts w:hAnsi="Times New Roman"/>
          <w:shd w:val="clear" w:color="auto" w:fill="FFFFFF"/>
        </w:rPr>
        <w:footnoteReference w:id="121"/>
      </w:r>
      <w:r w:rsidR="00451969" w:rsidRPr="00EE09BC">
        <w:rPr>
          <w:rFonts w:hAnsi="Times New Roman"/>
          <w:shd w:val="clear" w:color="auto" w:fill="FFFFFF"/>
        </w:rPr>
        <w:t xml:space="preserve"> </w:t>
      </w:r>
      <w:r w:rsidR="0042237A" w:rsidRPr="00EE09BC">
        <w:rPr>
          <w:rFonts w:hAnsi="Times New Roman"/>
          <w:shd w:val="clear" w:color="auto" w:fill="FFFFFF"/>
        </w:rPr>
        <w:t>The number of lawsuits involving non</w:t>
      </w:r>
      <w:r w:rsidR="009B135A" w:rsidRPr="00EE09BC">
        <w:rPr>
          <w:rFonts w:hAnsi="Times New Roman"/>
          <w:shd w:val="clear" w:color="auto" w:fill="FFFFFF"/>
        </w:rPr>
        <w:t>-</w:t>
      </w:r>
      <w:r w:rsidR="0042237A" w:rsidRPr="00EE09BC">
        <w:rPr>
          <w:rFonts w:hAnsi="Times New Roman"/>
          <w:shd w:val="clear" w:color="auto" w:fill="FFFFFF"/>
        </w:rPr>
        <w:t>competes has more than doubled in the past decade.</w:t>
      </w:r>
      <w:r w:rsidR="0042237A" w:rsidRPr="001C4EF5">
        <w:rPr>
          <w:rStyle w:val="FootnoteReference"/>
          <w:rFonts w:hAnsi="Times New Roman" w:cs="Times New Roman"/>
          <w:shd w:val="clear" w:color="auto" w:fill="FFFFFF"/>
        </w:rPr>
        <w:footnoteReference w:id="122"/>
      </w:r>
      <w:r w:rsidR="0042237A" w:rsidRPr="00EE09BC">
        <w:rPr>
          <w:rFonts w:hAnsi="Times New Roman"/>
          <w:shd w:val="clear" w:color="auto" w:fill="FFFFFF"/>
        </w:rPr>
        <w:t xml:space="preserve"> </w:t>
      </w:r>
      <w:r w:rsidR="002318AA" w:rsidRPr="00EE09BC">
        <w:rPr>
          <w:rFonts w:hAnsi="Times New Roman"/>
        </w:rPr>
        <w:t xml:space="preserve">Attorneys describe non-competes as </w:t>
      </w:r>
      <w:r w:rsidR="007D5E28">
        <w:rPr>
          <w:rFonts w:hAnsi="Times New Roman"/>
        </w:rPr>
        <w:t>“the most powerful weapon for employer</w:t>
      </w:r>
      <w:r w:rsidR="00B747CF">
        <w:rPr>
          <w:rFonts w:hAnsi="Times New Roman"/>
        </w:rPr>
        <w:t>s</w:t>
      </w:r>
      <w:r w:rsidR="007D5E28">
        <w:rPr>
          <w:rFonts w:hAnsi="Times New Roman"/>
        </w:rPr>
        <w:t>.</w:t>
      </w:r>
      <w:r w:rsidR="002318AA" w:rsidRPr="00EE09BC">
        <w:rPr>
          <w:rFonts w:hAnsi="Times New Roman"/>
        </w:rPr>
        <w:t>”</w:t>
      </w:r>
      <w:r w:rsidR="002318AA" w:rsidRPr="00EE09BC">
        <w:rPr>
          <w:rFonts w:hAnsi="Times New Roman"/>
          <w:vertAlign w:val="superscript"/>
        </w:rPr>
        <w:footnoteReference w:id="123"/>
      </w:r>
      <w:r w:rsidR="00540C44" w:rsidRPr="00540C44">
        <w:rPr>
          <w:rFonts w:hAnsi="Times New Roman"/>
          <w:shd w:val="clear" w:color="auto" w:fill="FFFFFF"/>
        </w:rPr>
        <w:t xml:space="preserve"> </w:t>
      </w:r>
      <w:r w:rsidR="00540C44" w:rsidRPr="00EE09BC">
        <w:rPr>
          <w:rFonts w:hAnsi="Times New Roman"/>
          <w:shd w:val="clear" w:color="auto" w:fill="FFFFFF"/>
        </w:rPr>
        <w:t>And yet, the legal disputes only show the tip of the iceberg because the large majority of employees do not choose to challenge the validity of these contracts.</w:t>
      </w:r>
      <w:r w:rsidR="00540C44" w:rsidRPr="00EE09BC">
        <w:rPr>
          <w:rStyle w:val="FootnoteReference"/>
          <w:rFonts w:hAnsi="Times New Roman"/>
          <w:shd w:val="clear" w:color="auto" w:fill="FFFFFF"/>
        </w:rPr>
        <w:footnoteReference w:id="124"/>
      </w:r>
      <w:r w:rsidR="00540C44">
        <w:rPr>
          <w:rFonts w:hAnsi="Times New Roman"/>
          <w:shd w:val="clear" w:color="auto" w:fill="FFFFFF"/>
        </w:rPr>
        <w:t xml:space="preserve"> </w:t>
      </w:r>
    </w:p>
    <w:p w14:paraId="231A6C64" w14:textId="77777777" w:rsidR="004E51B0" w:rsidRPr="00EE09BC" w:rsidRDefault="004E51B0" w:rsidP="00540C44">
      <w:pPr>
        <w:ind w:firstLine="720"/>
        <w:rPr>
          <w:rFonts w:hAnsi="Times New Roman"/>
        </w:rPr>
      </w:pPr>
    </w:p>
    <w:p w14:paraId="47BCEAFB" w14:textId="6F66EFEC" w:rsidR="004D5715" w:rsidRDefault="004E51B0" w:rsidP="004D5715">
      <w:pPr>
        <w:ind w:firstLine="0"/>
        <w:rPr>
          <w:rFonts w:hAnsi="Times New Roman" w:cs="Times New Roman"/>
          <w:color w:val="auto"/>
        </w:rPr>
      </w:pPr>
      <w:r>
        <w:tab/>
      </w:r>
      <w:r w:rsidR="002318AA" w:rsidRPr="00DD1543">
        <w:t xml:space="preserve">In debates about patent law reform, the patent thicket connotes a dense web of </w:t>
      </w:r>
      <w:r w:rsidR="004D5715">
        <w:t>IP</w:t>
      </w:r>
      <w:r w:rsidR="002318AA" w:rsidRPr="00DD1543">
        <w:t xml:space="preserve"> </w:t>
      </w:r>
      <w:r w:rsidR="004D5715">
        <w:t>protections which in aggregate</w:t>
      </w:r>
      <w:r w:rsidR="002318AA" w:rsidRPr="00DD1543">
        <w:t xml:space="preserve"> </w:t>
      </w:r>
      <w:r w:rsidR="002318AA" w:rsidRPr="00DD1543">
        <w:rPr>
          <w:u w:color="252525"/>
          <w:shd w:val="clear" w:color="auto" w:fill="FFFFFF"/>
        </w:rPr>
        <w:t>obstructs entry to markets and thus impedes innovation.</w:t>
      </w:r>
      <w:r w:rsidR="00161FD1">
        <w:rPr>
          <w:rStyle w:val="FootnoteReference"/>
          <w:u w:color="252525"/>
          <w:shd w:val="clear" w:color="auto" w:fill="FFFFFF"/>
        </w:rPr>
        <w:footnoteReference w:id="125"/>
      </w:r>
      <w:r w:rsidR="002318AA" w:rsidRPr="00DD1543">
        <w:rPr>
          <w:u w:color="252525"/>
          <w:shd w:val="clear" w:color="auto" w:fill="FFFFFF"/>
        </w:rPr>
        <w:t xml:space="preserve"> In other words, the she</w:t>
      </w:r>
      <w:r w:rsidR="00B56CBB">
        <w:rPr>
          <w:u w:color="252525"/>
          <w:shd w:val="clear" w:color="auto" w:fill="FFFFFF"/>
        </w:rPr>
        <w:t>e</w:t>
      </w:r>
      <w:r w:rsidR="002318AA" w:rsidRPr="00DD1543">
        <w:rPr>
          <w:u w:color="252525"/>
          <w:shd w:val="clear" w:color="auto" w:fill="FFFFFF"/>
        </w:rPr>
        <w:t>r quantity of the restrictions qualitatively changes the nature of competition.</w:t>
      </w:r>
      <w:r w:rsidR="002318AA" w:rsidRPr="00DD1543">
        <w:rPr>
          <w:vertAlign w:val="superscript"/>
        </w:rPr>
        <w:footnoteReference w:id="126"/>
      </w:r>
      <w:r w:rsidR="002318AA" w:rsidRPr="00DD1543">
        <w:rPr>
          <w:u w:color="252525"/>
          <w:shd w:val="clear" w:color="auto" w:fill="FFFFFF"/>
        </w:rPr>
        <w:t xml:space="preserve"> It creates a thick cluster of property rights that rigidifies the market and reduces the ability to move forward. </w:t>
      </w:r>
      <w:r w:rsidR="004D5715">
        <w:rPr>
          <w:u w:color="252525"/>
          <w:shd w:val="clear" w:color="auto" w:fill="FFFFFF"/>
        </w:rPr>
        <w:t xml:space="preserve">Non-competes are not only pervasive but also broad and often amorphous. </w:t>
      </w:r>
      <w:r w:rsidR="004D5715">
        <w:rPr>
          <w:rFonts w:hAnsi="Times New Roman"/>
        </w:rPr>
        <w:t>Non-compete</w:t>
      </w:r>
      <w:r w:rsidR="004D5715" w:rsidRPr="00EE09BC">
        <w:rPr>
          <w:rFonts w:hAnsi="Times New Roman"/>
        </w:rPr>
        <w:t xml:space="preserve"> </w:t>
      </w:r>
      <w:r w:rsidR="004D5715">
        <w:rPr>
          <w:rFonts w:hAnsi="Times New Roman"/>
        </w:rPr>
        <w:t>contracts</w:t>
      </w:r>
      <w:r w:rsidR="004D5715" w:rsidRPr="00EE09BC">
        <w:rPr>
          <w:rFonts w:hAnsi="Times New Roman"/>
        </w:rPr>
        <w:t xml:space="preserve"> are often drafted in an attempt to prevent all possible forms of competition, or indeed, departure, of employees. A recent example involving a sales representative</w:t>
      </w:r>
      <w:r w:rsidR="000B3E46">
        <w:rPr>
          <w:rFonts w:hAnsi="Times New Roman"/>
        </w:rPr>
        <w:t xml:space="preserve"> who signed a non-compete that prohibited</w:t>
      </w:r>
      <w:r w:rsidR="004D5715">
        <w:rPr>
          <w:rFonts w:hAnsi="Times New Roman"/>
        </w:rPr>
        <w:t xml:space="preserve"> the former employee </w:t>
      </w:r>
      <w:r w:rsidR="004D5715" w:rsidRPr="00EE09BC">
        <w:rPr>
          <w:rFonts w:hAnsi="Times New Roman"/>
        </w:rPr>
        <w:t>from working f</w:t>
      </w:r>
      <w:r w:rsidR="004D5715">
        <w:rPr>
          <w:rFonts w:hAnsi="Times New Roman"/>
        </w:rPr>
        <w:t>or a competitor in any capacity</w:t>
      </w:r>
      <w:r w:rsidR="000B3E46">
        <w:rPr>
          <w:rFonts w:hAnsi="Times New Roman"/>
        </w:rPr>
        <w:t xml:space="preserve"> is illustrative</w:t>
      </w:r>
      <w:r w:rsidR="004D5715">
        <w:rPr>
          <w:rFonts w:hAnsi="Times New Roman"/>
        </w:rPr>
        <w:t xml:space="preserve">. A North </w:t>
      </w:r>
      <w:r w:rsidR="004D5715" w:rsidRPr="00EE09BC">
        <w:rPr>
          <w:rFonts w:hAnsi="Times New Roman"/>
        </w:rPr>
        <w:t xml:space="preserve">Carolina court of appeals deemed the contract overly broad </w:t>
      </w:r>
      <w:r w:rsidR="004D5715">
        <w:rPr>
          <w:rFonts w:hAnsi="Times New Roman"/>
        </w:rPr>
        <w:t xml:space="preserve">and thereby unreasonable </w:t>
      </w:r>
      <w:r w:rsidR="004D5715" w:rsidRPr="00EE09BC">
        <w:rPr>
          <w:rFonts w:hAnsi="Times New Roman"/>
        </w:rPr>
        <w:t>and unenforceable.</w:t>
      </w:r>
      <w:r w:rsidR="004D5715" w:rsidRPr="00EE09BC">
        <w:rPr>
          <w:rFonts w:hAnsi="Times New Roman"/>
          <w:vertAlign w:val="superscript"/>
        </w:rPr>
        <w:footnoteReference w:id="127"/>
      </w:r>
      <w:r w:rsidR="004D5715" w:rsidRPr="00EE09BC">
        <w:rPr>
          <w:rFonts w:hAnsi="Times New Roman"/>
        </w:rPr>
        <w:t xml:space="preserve"> </w:t>
      </w:r>
      <w:r w:rsidR="004D5715">
        <w:rPr>
          <w:rFonts w:hAnsi="Times New Roman"/>
        </w:rPr>
        <w:t xml:space="preserve">Most states employ such an ad hoc standard of reasonableness to test the validity of a non-compete. </w:t>
      </w:r>
      <w:r w:rsidR="004D5715" w:rsidRPr="00DD1543">
        <w:rPr>
          <w:rFonts w:hAnsi="Times New Roman" w:cs="Times New Roman"/>
          <w:color w:val="auto"/>
        </w:rPr>
        <w:t xml:space="preserve">Current policies delineating the enforceability of these controls are largely </w:t>
      </w:r>
      <w:r w:rsidR="004D5715">
        <w:rPr>
          <w:rFonts w:hAnsi="Times New Roman" w:cs="Times New Roman"/>
          <w:color w:val="auto"/>
        </w:rPr>
        <w:t>case-by-case</w:t>
      </w:r>
      <w:r w:rsidR="004D5715" w:rsidRPr="00DD1543">
        <w:rPr>
          <w:rFonts w:hAnsi="Times New Roman" w:cs="Times New Roman"/>
          <w:color w:val="auto"/>
        </w:rPr>
        <w:t xml:space="preserve"> and </w:t>
      </w:r>
      <w:r w:rsidR="004D5715">
        <w:rPr>
          <w:rFonts w:hAnsi="Times New Roman" w:cs="Times New Roman"/>
          <w:color w:val="auto"/>
        </w:rPr>
        <w:t>unpredictable</w:t>
      </w:r>
      <w:r w:rsidR="004D5715" w:rsidRPr="00DD1543">
        <w:rPr>
          <w:rFonts w:hAnsi="Times New Roman" w:cs="Times New Roman"/>
          <w:color w:val="auto"/>
        </w:rPr>
        <w:t>.</w:t>
      </w:r>
      <w:r w:rsidR="004D5715">
        <w:rPr>
          <w:rFonts w:hAnsi="Times New Roman" w:cs="Times New Roman"/>
          <w:color w:val="auto"/>
        </w:rPr>
        <w:t xml:space="preserve"> As one court described this unpredictability:</w:t>
      </w:r>
    </w:p>
    <w:p w14:paraId="358F70EE" w14:textId="77777777" w:rsidR="004D5715" w:rsidRDefault="004D5715" w:rsidP="009342B8">
      <w:pPr>
        <w:spacing w:before="100" w:beforeAutospacing="1" w:after="100" w:afterAutospacing="1"/>
        <w:ind w:left="720" w:firstLine="0"/>
        <w:rPr>
          <w:rFonts w:hAnsi="Times New Roman" w:cs="Times New Roman"/>
        </w:rPr>
      </w:pPr>
      <w:r w:rsidRPr="007A0F17">
        <w:rPr>
          <w:rFonts w:hAnsi="Times New Roman" w:cs="Times New Roman"/>
        </w:rPr>
        <w:t>No layman could realize the legal complication involved in [the] uncomplicated act [of signing a non-compete]. This is not one of those questions on which the legal research cannot find enough to quench his thirst. The contrary, there is so much authority it drowns him. It is a sea – vast and vacillating, overlapping and bewildering. One can fish out of it any kind of strange support for anything, if he lives so long. This deep and unsettled sea pertaining to an employee’s covenant not to compete with his employer after termination of employment is really Seven Seas and now that the court has sailed them, perhaps it should record those seas so that the next weary traveler may be saved the terrifying time it takes just to find them.</w:t>
      </w:r>
      <w:r w:rsidR="00EA4F15">
        <w:rPr>
          <w:rStyle w:val="FootnoteReference"/>
          <w:rFonts w:hAnsi="Times New Roman" w:cs="Times New Roman"/>
        </w:rPr>
        <w:footnoteReference w:id="128"/>
      </w:r>
      <w:bookmarkStart w:id="19" w:name="FNRF3281794020"/>
      <w:bookmarkEnd w:id="19"/>
    </w:p>
    <w:p w14:paraId="5AEC3AD1" w14:textId="77777777" w:rsidR="004D5715" w:rsidRDefault="004D5715" w:rsidP="004D5715">
      <w:pPr>
        <w:ind w:firstLine="0"/>
        <w:rPr>
          <w:rFonts w:hAnsi="Times New Roman" w:cs="Times New Roman"/>
          <w:color w:val="auto"/>
        </w:rPr>
      </w:pPr>
      <w:r w:rsidRPr="00106072">
        <w:rPr>
          <w:rFonts w:hAnsi="Times New Roman" w:cs="Times New Roman"/>
          <w:color w:val="auto"/>
        </w:rPr>
        <w:t>The reasonableness standard is an open-ended legal term,</w:t>
      </w:r>
      <w:r w:rsidRPr="000A59BF">
        <w:rPr>
          <w:rFonts w:hAnsi="Times New Roman" w:cs="Times New Roman"/>
          <w:color w:val="auto"/>
        </w:rPr>
        <w:t xml:space="preserve"> consisting of a balancing test </w:t>
      </w:r>
      <w:r w:rsidRPr="0093601C">
        <w:rPr>
          <w:rFonts w:hAnsi="Times New Roman" w:cs="Times New Roman"/>
          <w:color w:val="auto"/>
        </w:rPr>
        <w:t>applied by the courts</w:t>
      </w:r>
      <w:r w:rsidRPr="00A40A70">
        <w:rPr>
          <w:rFonts w:hAnsi="Times New Roman" w:cs="Times New Roman"/>
          <w:color w:val="auto"/>
        </w:rPr>
        <w:t xml:space="preserve"> weighing “legitimate business interests,” “employee hardships,” and the “public interest.” Th</w:t>
      </w:r>
      <w:r>
        <w:rPr>
          <w:rFonts w:hAnsi="Times New Roman" w:cs="Times New Roman"/>
          <w:color w:val="auto"/>
        </w:rPr>
        <w:t>e balancing</w:t>
      </w:r>
      <w:r w:rsidRPr="00A40A70">
        <w:rPr>
          <w:rFonts w:hAnsi="Times New Roman" w:cs="Times New Roman"/>
          <w:color w:val="auto"/>
        </w:rPr>
        <w:t xml:space="preserve"> is </w:t>
      </w:r>
      <w:r>
        <w:rPr>
          <w:rFonts w:hAnsi="Times New Roman" w:cs="Times New Roman"/>
          <w:color w:val="auto"/>
        </w:rPr>
        <w:t>generally conducted</w:t>
      </w:r>
      <w:r w:rsidRPr="00106072">
        <w:rPr>
          <w:rFonts w:hAnsi="Times New Roman" w:cs="Times New Roman"/>
          <w:color w:val="auto"/>
        </w:rPr>
        <w:t xml:space="preserve"> on a case-by-case basis, without </w:t>
      </w:r>
      <w:r>
        <w:rPr>
          <w:rFonts w:hAnsi="Times New Roman" w:cs="Times New Roman"/>
          <w:color w:val="auto"/>
        </w:rPr>
        <w:t xml:space="preserve">either </w:t>
      </w:r>
      <w:r w:rsidRPr="00106072">
        <w:rPr>
          <w:rFonts w:hAnsi="Times New Roman" w:cs="Times New Roman"/>
          <w:color w:val="auto"/>
        </w:rPr>
        <w:t xml:space="preserve">referencing </w:t>
      </w:r>
      <w:r w:rsidRPr="000A59BF">
        <w:rPr>
          <w:rFonts w:hAnsi="Times New Roman" w:cs="Times New Roman"/>
          <w:color w:val="auto"/>
        </w:rPr>
        <w:t xml:space="preserve">contemporary data </w:t>
      </w:r>
      <w:r>
        <w:rPr>
          <w:rFonts w:hAnsi="Times New Roman" w:cs="Times New Roman"/>
          <w:color w:val="auto"/>
        </w:rPr>
        <w:t>or</w:t>
      </w:r>
      <w:r w:rsidRPr="000A59BF">
        <w:rPr>
          <w:rFonts w:hAnsi="Times New Roman" w:cs="Times New Roman"/>
          <w:color w:val="auto"/>
        </w:rPr>
        <w:t xml:space="preserve"> generalizing beyond the particular facts of each dispute</w:t>
      </w:r>
      <w:r w:rsidRPr="00106072">
        <w:rPr>
          <w:rFonts w:hAnsi="Times New Roman" w:cs="Times New Roman"/>
          <w:color w:val="auto"/>
        </w:rPr>
        <w:t xml:space="preserve">. </w:t>
      </w:r>
      <w:r w:rsidRPr="00DD1543">
        <w:rPr>
          <w:rFonts w:hAnsi="Times New Roman" w:cs="Times New Roman"/>
          <w:color w:val="auto"/>
        </w:rPr>
        <w:t xml:space="preserve">The court’s reasoning in these cases is </w:t>
      </w:r>
      <w:r>
        <w:rPr>
          <w:rFonts w:hAnsi="Times New Roman" w:cs="Times New Roman"/>
          <w:color w:val="auto"/>
        </w:rPr>
        <w:t>often conclusory and subjective.</w:t>
      </w:r>
      <w:r w:rsidRPr="00DD1543">
        <w:rPr>
          <w:rFonts w:hAnsi="Times New Roman" w:cs="Times New Roman"/>
          <w:color w:val="auto"/>
          <w:vertAlign w:val="superscript"/>
        </w:rPr>
        <w:footnoteReference w:id="129"/>
      </w:r>
    </w:p>
    <w:p w14:paraId="33995465" w14:textId="77777777" w:rsidR="004D5715" w:rsidRDefault="004D5715" w:rsidP="004D5715">
      <w:pPr>
        <w:ind w:firstLine="0"/>
        <w:jc w:val="left"/>
        <w:rPr>
          <w:rFonts w:hAnsi="Times New Roman"/>
        </w:rPr>
      </w:pPr>
    </w:p>
    <w:p w14:paraId="1C4772D2" w14:textId="70BE39F7" w:rsidR="00C81DA8" w:rsidRDefault="004D5715" w:rsidP="007A4DC5">
      <w:pPr>
        <w:ind w:firstLine="720"/>
        <w:rPr>
          <w:rFonts w:hAnsi="Times New Roman" w:cs="Times New Roman"/>
          <w:color w:val="auto"/>
        </w:rPr>
      </w:pPr>
      <w:r>
        <w:rPr>
          <w:rFonts w:hAnsi="Times New Roman"/>
        </w:rPr>
        <w:t>In practice, m</w:t>
      </w:r>
      <w:r w:rsidRPr="00EE09BC">
        <w:rPr>
          <w:rFonts w:hAnsi="Times New Roman"/>
        </w:rPr>
        <w:t>ost employees will alter their careers and decision-making to avoid risk rather than challenge unreasonable non-competes in court.</w:t>
      </w:r>
      <w:r>
        <w:rPr>
          <w:rFonts w:hAnsi="Times New Roman"/>
        </w:rPr>
        <w:t xml:space="preserve"> </w:t>
      </w:r>
      <w:r w:rsidR="009276CA" w:rsidRPr="00DD1543">
        <w:rPr>
          <w:rFonts w:hAnsi="Times New Roman" w:cs="Times New Roman"/>
          <w:color w:val="auto"/>
        </w:rPr>
        <w:t>One study that examine</w:t>
      </w:r>
      <w:r w:rsidR="000B3E46">
        <w:rPr>
          <w:rFonts w:hAnsi="Times New Roman" w:cs="Times New Roman"/>
          <w:color w:val="auto"/>
        </w:rPr>
        <w:t>d</w:t>
      </w:r>
      <w:r w:rsidR="009276CA" w:rsidRPr="00DD1543">
        <w:rPr>
          <w:rFonts w:hAnsi="Times New Roman" w:cs="Times New Roman"/>
          <w:color w:val="auto"/>
        </w:rPr>
        <w:t xml:space="preserve"> the behavior</w:t>
      </w:r>
      <w:r w:rsidR="00483F86">
        <w:rPr>
          <w:rFonts w:hAnsi="Times New Roman" w:cs="Times New Roman"/>
          <w:color w:val="auto"/>
        </w:rPr>
        <w:t>al</w:t>
      </w:r>
      <w:r w:rsidR="009276CA" w:rsidRPr="00DD1543">
        <w:rPr>
          <w:rFonts w:hAnsi="Times New Roman" w:cs="Times New Roman"/>
          <w:color w:val="auto"/>
        </w:rPr>
        <w:t xml:space="preserve"> patterns of almost 100,000 inventors bound by post-employment restrictions </w:t>
      </w:r>
      <w:r w:rsidR="000B3E46">
        <w:rPr>
          <w:rFonts w:hAnsi="Times New Roman" w:cs="Times New Roman"/>
          <w:color w:val="auto"/>
        </w:rPr>
        <w:t>found</w:t>
      </w:r>
      <w:r w:rsidR="000B3E46" w:rsidRPr="00DD1543">
        <w:rPr>
          <w:rFonts w:hAnsi="Times New Roman" w:cs="Times New Roman"/>
          <w:color w:val="auto"/>
        </w:rPr>
        <w:t xml:space="preserve"> </w:t>
      </w:r>
      <w:r w:rsidR="009276CA" w:rsidRPr="00DD1543">
        <w:rPr>
          <w:rFonts w:hAnsi="Times New Roman" w:cs="Times New Roman"/>
          <w:color w:val="auto"/>
        </w:rPr>
        <w:t>that these inventors are likely to engage in survival tactics such as taking unpaid sabbaticals and unemployment, leav</w:t>
      </w:r>
      <w:r w:rsidR="009276CA">
        <w:rPr>
          <w:rFonts w:hAnsi="Times New Roman" w:cs="Times New Roman"/>
          <w:color w:val="auto"/>
        </w:rPr>
        <w:t>ing</w:t>
      </w:r>
      <w:r w:rsidR="009276CA" w:rsidRPr="00DD1543">
        <w:rPr>
          <w:rFonts w:hAnsi="Times New Roman" w:cs="Times New Roman"/>
          <w:color w:val="auto"/>
        </w:rPr>
        <w:t xml:space="preserve"> their profession, or sever</w:t>
      </w:r>
      <w:r w:rsidR="009276CA">
        <w:rPr>
          <w:rFonts w:hAnsi="Times New Roman" w:cs="Times New Roman"/>
          <w:color w:val="auto"/>
        </w:rPr>
        <w:t>ing</w:t>
      </w:r>
      <w:r w:rsidR="009276CA" w:rsidRPr="00DD1543">
        <w:rPr>
          <w:rFonts w:hAnsi="Times New Roman" w:cs="Times New Roman"/>
          <w:color w:val="auto"/>
        </w:rPr>
        <w:t xml:space="preserve"> their past professional connections, in the hope that they will fly under their former employers’ radar should they continue to work in their chosen career path.</w:t>
      </w:r>
      <w:r w:rsidR="009276CA">
        <w:rPr>
          <w:rStyle w:val="FootnoteReference"/>
          <w:rFonts w:hAnsi="Times New Roman" w:cs="Times New Roman"/>
          <w:color w:val="auto"/>
        </w:rPr>
        <w:footnoteReference w:id="130"/>
      </w:r>
      <w:r w:rsidR="009276CA">
        <w:rPr>
          <w:rFonts w:hAnsi="Times New Roman" w:cs="Times New Roman"/>
          <w:color w:val="auto"/>
        </w:rPr>
        <w:t xml:space="preserve"> </w:t>
      </w:r>
      <w:r w:rsidR="00C81DA8">
        <w:rPr>
          <w:rFonts w:hAnsi="Times New Roman" w:cs="Times New Roman"/>
          <w:color w:val="auto"/>
        </w:rPr>
        <w:t>Another</w:t>
      </w:r>
      <w:r w:rsidR="00C81DA8" w:rsidRPr="00DD1543">
        <w:rPr>
          <w:rFonts w:hAnsi="Times New Roman" w:cs="Times New Roman"/>
          <w:color w:val="auto"/>
        </w:rPr>
        <w:t xml:space="preserve"> study</w:t>
      </w:r>
      <w:r w:rsidR="00C81DA8">
        <w:rPr>
          <w:rFonts w:hAnsi="Times New Roman" w:cs="Times New Roman"/>
          <w:color w:val="auto"/>
        </w:rPr>
        <w:t>,</w:t>
      </w:r>
      <w:r w:rsidR="00C81DA8" w:rsidRPr="00DD1543">
        <w:rPr>
          <w:rFonts w:hAnsi="Times New Roman" w:cs="Times New Roman"/>
          <w:color w:val="auto"/>
        </w:rPr>
        <w:t xml:space="preserve"> which looked at the emigration of inventors</w:t>
      </w:r>
      <w:r w:rsidR="00C81DA8">
        <w:rPr>
          <w:rFonts w:hAnsi="Times New Roman" w:cs="Times New Roman"/>
          <w:color w:val="auto"/>
        </w:rPr>
        <w:t>,</w:t>
      </w:r>
      <w:r w:rsidR="00C81DA8" w:rsidRPr="00DD1543">
        <w:rPr>
          <w:rFonts w:hAnsi="Times New Roman" w:cs="Times New Roman"/>
          <w:color w:val="auto"/>
        </w:rPr>
        <w:t xml:space="preserve"> found that inventors leave states that enforce non-compete agreements in far higher rates tha</w:t>
      </w:r>
      <w:r w:rsidR="007A4DC5">
        <w:rPr>
          <w:rFonts w:hAnsi="Times New Roman" w:cs="Times New Roman"/>
          <w:color w:val="auto"/>
        </w:rPr>
        <w:t>n they leave states that do not.</w:t>
      </w:r>
      <w:r w:rsidR="00C81DA8" w:rsidRPr="00DD1543">
        <w:rPr>
          <w:rFonts w:hAnsi="Times New Roman" w:cs="Times New Roman"/>
          <w:color w:val="auto"/>
          <w:vertAlign w:val="superscript"/>
        </w:rPr>
        <w:footnoteReference w:id="131"/>
      </w:r>
      <w:r w:rsidR="00C81DA8" w:rsidRPr="00DD1543">
        <w:rPr>
          <w:rFonts w:hAnsi="Times New Roman" w:cs="Times New Roman"/>
          <w:color w:val="auto"/>
        </w:rPr>
        <w:t xml:space="preserve"> </w:t>
      </w:r>
      <w:r w:rsidR="007A4DC5">
        <w:rPr>
          <w:rFonts w:hAnsi="Times New Roman" w:cs="Times New Roman"/>
          <w:color w:val="auto"/>
        </w:rPr>
        <w:t>The</w:t>
      </w:r>
      <w:r w:rsidR="00C81DA8" w:rsidRPr="007A4DC5">
        <w:rPr>
          <w:rFonts w:hAnsi="Times New Roman" w:cs="Times New Roman"/>
          <w:color w:val="auto"/>
        </w:rPr>
        <w:t xml:space="preserve"> researcher</w:t>
      </w:r>
      <w:r w:rsidR="007A4DC5">
        <w:rPr>
          <w:rFonts w:hAnsi="Times New Roman" w:cs="Times New Roman"/>
          <w:color w:val="auto"/>
        </w:rPr>
        <w:t>s c</w:t>
      </w:r>
      <w:r w:rsidR="00C81DA8" w:rsidRPr="007A4DC5">
        <w:rPr>
          <w:rFonts w:hAnsi="Times New Roman" w:cs="Times New Roman"/>
          <w:color w:val="auto"/>
        </w:rPr>
        <w:t>onclude that non-competes lead to a ‘brain drain’ of the most valuable knowledge worker.</w:t>
      </w:r>
      <w:r w:rsidR="00C81DA8">
        <w:rPr>
          <w:rFonts w:hAnsi="Times New Roman" w:cs="Times New Roman"/>
          <w:color w:val="auto"/>
        </w:rPr>
        <w:t xml:space="preserve"> They warn that the evidence suggests non-competes </w:t>
      </w:r>
      <w:r w:rsidR="00C81DA8" w:rsidRPr="00DD1543">
        <w:rPr>
          <w:rFonts w:hAnsi="Times New Roman" w:cs="Times New Roman"/>
          <w:color w:val="auto"/>
        </w:rPr>
        <w:t>driv</w:t>
      </w:r>
      <w:r w:rsidR="00C81DA8">
        <w:rPr>
          <w:rFonts w:hAnsi="Times New Roman" w:cs="Times New Roman"/>
          <w:color w:val="auto"/>
        </w:rPr>
        <w:t>e</w:t>
      </w:r>
      <w:r w:rsidR="00C81DA8" w:rsidRPr="00DD1543">
        <w:rPr>
          <w:rFonts w:hAnsi="Times New Roman" w:cs="Times New Roman"/>
          <w:color w:val="auto"/>
        </w:rPr>
        <w:t xml:space="preserve"> away those with</w:t>
      </w:r>
      <w:r w:rsidR="00C81DA8">
        <w:rPr>
          <w:rFonts w:hAnsi="Times New Roman" w:cs="Times New Roman"/>
          <w:color w:val="auto"/>
        </w:rPr>
        <w:t xml:space="preserve"> the strongest</w:t>
      </w:r>
      <w:r w:rsidR="00C81DA8" w:rsidRPr="00DD1543">
        <w:rPr>
          <w:rFonts w:hAnsi="Times New Roman" w:cs="Times New Roman"/>
          <w:color w:val="auto"/>
        </w:rPr>
        <w:t xml:space="preserve"> human </w:t>
      </w:r>
      <w:r w:rsidR="00C81DA8">
        <w:rPr>
          <w:rFonts w:hAnsi="Times New Roman" w:cs="Times New Roman"/>
          <w:color w:val="auto"/>
        </w:rPr>
        <w:t xml:space="preserve">capital, a </w:t>
      </w:r>
      <w:r w:rsidR="00894807">
        <w:rPr>
          <w:rFonts w:hAnsi="Times New Roman" w:cs="Times New Roman"/>
          <w:color w:val="auto"/>
        </w:rPr>
        <w:t xml:space="preserve">phenomenon, </w:t>
      </w:r>
      <w:r w:rsidR="00C81DA8">
        <w:rPr>
          <w:rFonts w:hAnsi="Times New Roman" w:cs="Times New Roman"/>
          <w:color w:val="auto"/>
        </w:rPr>
        <w:t>which over time</w:t>
      </w:r>
      <w:r w:rsidR="00894807">
        <w:rPr>
          <w:rFonts w:hAnsi="Times New Roman" w:cs="Times New Roman"/>
          <w:color w:val="auto"/>
        </w:rPr>
        <w:t>,</w:t>
      </w:r>
      <w:r w:rsidR="00C81DA8">
        <w:rPr>
          <w:rFonts w:hAnsi="Times New Roman" w:cs="Times New Roman"/>
          <w:color w:val="auto"/>
        </w:rPr>
        <w:t xml:space="preserve"> keeps the least desirable employees in regions that enforce non-compete restrictions while pushing the best employees to more open regions. </w:t>
      </w:r>
    </w:p>
    <w:p w14:paraId="7C0CAABE" w14:textId="77777777" w:rsidR="00B2315E" w:rsidRDefault="00B2315E" w:rsidP="00C81DA8">
      <w:pPr>
        <w:ind w:firstLine="720"/>
        <w:rPr>
          <w:rFonts w:hAnsi="Times New Roman" w:cs="Times New Roman"/>
          <w:color w:val="auto"/>
        </w:rPr>
      </w:pPr>
    </w:p>
    <w:p w14:paraId="0CFF2DAB" w14:textId="77777777" w:rsidR="00A34A38" w:rsidRDefault="00C81DA8" w:rsidP="00A34A38">
      <w:pPr>
        <w:ind w:firstLine="720"/>
      </w:pPr>
      <w:r>
        <w:t>From a firm perspective, many</w:t>
      </w:r>
      <w:r w:rsidR="004D5715">
        <w:t xml:space="preserve"> potential new employers will not risk a lawsuit by hiring an employee already bound by a non-compete. For example, in a recent case, a former employer sent a competitor, who hired its departing employee, a letter about the existence of a non-compete.</w:t>
      </w:r>
      <w:r w:rsidR="004D5715">
        <w:rPr>
          <w:vertAlign w:val="superscript"/>
        </w:rPr>
        <w:footnoteReference w:id="132"/>
      </w:r>
      <w:r w:rsidR="004D5715">
        <w:t xml:space="preserve"> In a standard move, the employee was immediately fired from the new job. In this case, the employee filed a lawsuit against his former employer for tortious interference with his relationship with the new employer. The court dismissed the case, explaining that a former employer has a right to send such warning letters and that the result of the firing d</w:t>
      </w:r>
      <w:r w:rsidR="00A34A38">
        <w:t>oes not present a legal issue.</w:t>
      </w:r>
    </w:p>
    <w:p w14:paraId="3487A94D" w14:textId="77777777" w:rsidR="00840E21" w:rsidRDefault="00840E21" w:rsidP="006445F7">
      <w:pPr>
        <w:ind w:firstLine="720"/>
        <w:rPr>
          <w:rFonts w:hAnsi="Times New Roman" w:cs="Times New Roman"/>
          <w:color w:val="auto"/>
        </w:rPr>
      </w:pPr>
    </w:p>
    <w:p w14:paraId="5376C0F1" w14:textId="77777777" w:rsidR="006445F7" w:rsidRDefault="004D5715" w:rsidP="006445F7">
      <w:pPr>
        <w:ind w:firstLine="720"/>
        <w:rPr>
          <w:rFonts w:hAnsi="Times New Roman" w:cs="Times New Roman"/>
          <w:color w:val="auto"/>
        </w:rPr>
      </w:pPr>
      <w:r w:rsidRPr="00A34A38">
        <w:rPr>
          <w:rFonts w:hAnsi="Times New Roman" w:cs="Times New Roman"/>
          <w:color w:val="auto"/>
        </w:rPr>
        <w:t>Only a handful of states ban or nearly ban the enforce</w:t>
      </w:r>
      <w:r w:rsidR="009276CA" w:rsidRPr="00A34A38">
        <w:rPr>
          <w:rFonts w:hAnsi="Times New Roman" w:cs="Times New Roman"/>
          <w:color w:val="auto"/>
        </w:rPr>
        <w:t xml:space="preserve">ment of non-compete agreements, most notably California, which has banned non-competes since the founding of the state. </w:t>
      </w:r>
      <w:r w:rsidR="009276CA" w:rsidRPr="00A34A38">
        <w:rPr>
          <w:rFonts w:hAnsi="Times New Roman" w:cs="Times New Roman"/>
          <w:lang w:bidi="he-IL"/>
        </w:rPr>
        <w:t>The California Business and Professions Code voids “every contract by which anyone is restrained from engaging in a lawful profession, trade, or business.”</w:t>
      </w:r>
      <w:r w:rsidR="009276CA" w:rsidRPr="00A34A38">
        <w:rPr>
          <w:rStyle w:val="FootnoteReference"/>
          <w:rFonts w:hAnsi="Times New Roman" w:cs="Times New Roman"/>
        </w:rPr>
        <w:footnoteReference w:id="133"/>
      </w:r>
      <w:r w:rsidR="009276CA" w:rsidRPr="00A34A38">
        <w:rPr>
          <w:rFonts w:hAnsi="Times New Roman" w:cs="Times New Roman"/>
          <w:lang w:bidi="he-IL"/>
        </w:rPr>
        <w:t xml:space="preserve"> </w:t>
      </w:r>
      <w:r w:rsidR="006445F7" w:rsidRPr="00DD1543">
        <w:rPr>
          <w:rFonts w:hAnsi="Times New Roman" w:cs="Times New Roman"/>
          <w:color w:val="auto"/>
        </w:rPr>
        <w:t xml:space="preserve">The courts have understood this exceptional California law, which runs contrary to most other states, as a policy of favoring open competition and promoting a citizen’s right to pursue the employment and enterprise of </w:t>
      </w:r>
      <w:r w:rsidR="006445F7">
        <w:rPr>
          <w:rFonts w:hAnsi="Times New Roman" w:cs="Times New Roman"/>
          <w:color w:val="auto"/>
        </w:rPr>
        <w:t>his or her</w:t>
      </w:r>
      <w:r w:rsidR="006445F7" w:rsidRPr="00DD1543">
        <w:rPr>
          <w:rFonts w:hAnsi="Times New Roman" w:cs="Times New Roman"/>
          <w:color w:val="auto"/>
        </w:rPr>
        <w:t xml:space="preserve"> choice.</w:t>
      </w:r>
      <w:r w:rsidR="006445F7">
        <w:rPr>
          <w:rStyle w:val="FootnoteReference"/>
          <w:rFonts w:hAnsi="Times New Roman" w:cs="Times New Roman"/>
          <w:color w:val="auto"/>
        </w:rPr>
        <w:footnoteReference w:id="134"/>
      </w:r>
      <w:r w:rsidR="006445F7" w:rsidRPr="00DD1543">
        <w:rPr>
          <w:rFonts w:hAnsi="Times New Roman" w:cs="Times New Roman"/>
          <w:color w:val="auto"/>
        </w:rPr>
        <w:t xml:space="preserve"> </w:t>
      </w:r>
    </w:p>
    <w:p w14:paraId="0DD4D2D1" w14:textId="77777777" w:rsidR="00840E21" w:rsidRDefault="00840E21" w:rsidP="00A34A38">
      <w:pPr>
        <w:ind w:firstLine="720"/>
        <w:rPr>
          <w:rFonts w:hAnsi="Times New Roman" w:cs="Times New Roman"/>
          <w:color w:val="141412"/>
        </w:rPr>
      </w:pPr>
    </w:p>
    <w:p w14:paraId="38A859AB" w14:textId="77777777" w:rsidR="004D5715" w:rsidRPr="00A34A38" w:rsidRDefault="004D5715" w:rsidP="00A34A38">
      <w:pPr>
        <w:ind w:firstLine="720"/>
        <w:rPr>
          <w:rFonts w:hAnsi="Times New Roman" w:cs="Times New Roman"/>
          <w:color w:val="auto"/>
        </w:rPr>
      </w:pPr>
      <w:r w:rsidRPr="00A34A38">
        <w:rPr>
          <w:rFonts w:hAnsi="Times New Roman" w:cs="Times New Roman"/>
          <w:color w:val="141412"/>
        </w:rPr>
        <w:t>In April 2014, Massachusetts Gov</w:t>
      </w:r>
      <w:r w:rsidR="00C02DB8">
        <w:rPr>
          <w:rFonts w:hAnsi="Times New Roman" w:cs="Times New Roman"/>
          <w:color w:val="141412"/>
        </w:rPr>
        <w:t>ernor</w:t>
      </w:r>
      <w:r w:rsidRPr="00A34A38">
        <w:rPr>
          <w:rFonts w:hAnsi="Times New Roman" w:cs="Times New Roman"/>
          <w:color w:val="141412"/>
        </w:rPr>
        <w:t xml:space="preserve"> Deval Patrick proposed ba</w:t>
      </w:r>
      <w:r w:rsidR="00C62D4A" w:rsidRPr="00A34A38">
        <w:rPr>
          <w:rFonts w:hAnsi="Times New Roman" w:cs="Times New Roman"/>
          <w:color w:val="141412"/>
        </w:rPr>
        <w:t>nning non</w:t>
      </w:r>
      <w:r w:rsidR="00840E21">
        <w:rPr>
          <w:rFonts w:hAnsi="Times New Roman" w:cs="Times New Roman"/>
          <w:color w:val="141412"/>
        </w:rPr>
        <w:t>-</w:t>
      </w:r>
      <w:r w:rsidR="00C62D4A" w:rsidRPr="00A34A38">
        <w:rPr>
          <w:rFonts w:hAnsi="Times New Roman" w:cs="Times New Roman"/>
          <w:color w:val="141412"/>
        </w:rPr>
        <w:t xml:space="preserve">competes in the state, alluding to the new </w:t>
      </w:r>
      <w:r w:rsidR="00C81DA8" w:rsidRPr="00A34A38">
        <w:rPr>
          <w:rFonts w:hAnsi="Times New Roman" w:cs="Times New Roman"/>
          <w:color w:val="141412"/>
        </w:rPr>
        <w:t>evidence</w:t>
      </w:r>
      <w:r w:rsidR="00C62D4A" w:rsidRPr="00A34A38">
        <w:rPr>
          <w:rFonts w:hAnsi="Times New Roman" w:cs="Times New Roman"/>
          <w:color w:val="141412"/>
        </w:rPr>
        <w:t xml:space="preserve"> </w:t>
      </w:r>
      <w:r w:rsidR="00C81DA8" w:rsidRPr="00A34A38">
        <w:rPr>
          <w:rFonts w:hAnsi="Times New Roman" w:cs="Times New Roman"/>
          <w:color w:val="141412"/>
        </w:rPr>
        <w:t>demonstrating</w:t>
      </w:r>
      <w:r w:rsidR="00C62D4A" w:rsidRPr="00A34A38">
        <w:rPr>
          <w:rFonts w:hAnsi="Times New Roman" w:cs="Times New Roman"/>
          <w:color w:val="141412"/>
        </w:rPr>
        <w:t xml:space="preserve"> </w:t>
      </w:r>
      <w:r w:rsidR="008842A7" w:rsidRPr="00A34A38">
        <w:rPr>
          <w:rFonts w:hAnsi="Times New Roman" w:cs="Times New Roman"/>
          <w:color w:val="141412"/>
        </w:rPr>
        <w:t>the</w:t>
      </w:r>
      <w:r w:rsidR="008A2130">
        <w:rPr>
          <w:rFonts w:hAnsi="Times New Roman" w:cs="Times New Roman"/>
          <w:color w:val="141412"/>
        </w:rPr>
        <w:t>ir</w:t>
      </w:r>
      <w:r w:rsidR="008842A7" w:rsidRPr="00A34A38">
        <w:rPr>
          <w:rFonts w:hAnsi="Times New Roman" w:cs="Times New Roman"/>
          <w:color w:val="141412"/>
        </w:rPr>
        <w:t xml:space="preserve"> detrimental effects</w:t>
      </w:r>
      <w:r w:rsidR="008A2130">
        <w:rPr>
          <w:rFonts w:hAnsi="Times New Roman" w:cs="Times New Roman"/>
          <w:color w:val="141412"/>
        </w:rPr>
        <w:t>.</w:t>
      </w:r>
      <w:r w:rsidR="00A34A38">
        <w:rPr>
          <w:rStyle w:val="FootnoteReference"/>
          <w:rFonts w:hAnsi="Times New Roman" w:cs="Times New Roman"/>
          <w:color w:val="141412"/>
        </w:rPr>
        <w:footnoteReference w:id="135"/>
      </w:r>
      <w:r w:rsidR="008842A7" w:rsidRPr="00A34A38">
        <w:rPr>
          <w:rFonts w:hAnsi="Times New Roman" w:cs="Times New Roman"/>
          <w:color w:val="141412"/>
        </w:rPr>
        <w:t xml:space="preserve"> </w:t>
      </w:r>
    </w:p>
    <w:p w14:paraId="2D84C260" w14:textId="77777777" w:rsidR="007F1F19" w:rsidRPr="00DD1543" w:rsidRDefault="007F1F19">
      <w:pPr>
        <w:ind w:firstLine="720"/>
        <w:rPr>
          <w:rFonts w:hAnsi="Times New Roman" w:cs="Times New Roman"/>
          <w:color w:val="auto"/>
        </w:rPr>
      </w:pPr>
    </w:p>
    <w:p w14:paraId="59219AC4" w14:textId="77777777" w:rsidR="007F1F19" w:rsidRPr="00DD1543" w:rsidRDefault="002318AA" w:rsidP="007F773C">
      <w:pPr>
        <w:pStyle w:val="Heading3"/>
        <w:numPr>
          <w:ilvl w:val="2"/>
          <w:numId w:val="14"/>
        </w:numPr>
        <w:rPr>
          <w:color w:val="auto"/>
        </w:rPr>
      </w:pPr>
      <w:bookmarkStart w:id="20" w:name="_Toc399167396"/>
      <w:r w:rsidRPr="00DD1543">
        <w:rPr>
          <w:color w:val="auto"/>
        </w:rPr>
        <w:t>Name Game: Non-Solicitatio</w:t>
      </w:r>
      <w:r w:rsidR="007F773C">
        <w:rPr>
          <w:color w:val="auto"/>
        </w:rPr>
        <w:t xml:space="preserve">n, Non-Dealing, and </w:t>
      </w:r>
      <w:r w:rsidRPr="00DD1543">
        <w:rPr>
          <w:color w:val="auto"/>
        </w:rPr>
        <w:t>Non-Poaching</w:t>
      </w:r>
      <w:bookmarkEnd w:id="20"/>
      <w:r w:rsidRPr="00DD1543">
        <w:rPr>
          <w:color w:val="auto"/>
        </w:rPr>
        <w:t xml:space="preserve"> </w:t>
      </w:r>
    </w:p>
    <w:p w14:paraId="793B2C63" w14:textId="77777777" w:rsidR="007F1F19" w:rsidRPr="00DD1543" w:rsidRDefault="007F1F19">
      <w:pPr>
        <w:rPr>
          <w:rFonts w:hAnsi="Times New Roman" w:cs="Times New Roman"/>
          <w:color w:val="auto"/>
        </w:rPr>
      </w:pPr>
    </w:p>
    <w:p w14:paraId="6E22D456" w14:textId="25781718" w:rsidR="007A6ACD" w:rsidRDefault="002318AA" w:rsidP="007A6ACD">
      <w:pPr>
        <w:ind w:firstLine="720"/>
        <w:rPr>
          <w:rFonts w:hAnsi="Times New Roman" w:cs="Times New Roman"/>
          <w:color w:val="auto"/>
        </w:rPr>
      </w:pPr>
      <w:r w:rsidRPr="00DD1543">
        <w:rPr>
          <w:rFonts w:hAnsi="Times New Roman" w:cs="Times New Roman"/>
          <w:color w:val="auto"/>
        </w:rPr>
        <w:t>An effective non-compete contract does not need to be labeled</w:t>
      </w:r>
      <w:r w:rsidR="00174D30">
        <w:rPr>
          <w:rFonts w:hAnsi="Times New Roman" w:cs="Times New Roman"/>
          <w:color w:val="auto"/>
        </w:rPr>
        <w:t xml:space="preserve"> or entitled</w:t>
      </w:r>
      <w:r w:rsidR="00A34A38">
        <w:rPr>
          <w:rFonts w:hAnsi="Times New Roman" w:cs="Times New Roman"/>
          <w:color w:val="auto"/>
        </w:rPr>
        <w:t xml:space="preserve"> as such. </w:t>
      </w:r>
      <w:r w:rsidRPr="00DD1543">
        <w:rPr>
          <w:rFonts w:hAnsi="Times New Roman" w:cs="Times New Roman"/>
          <w:color w:val="auto"/>
        </w:rPr>
        <w:t>Restrictions over the use of human capital do not have to explicitly use the language of non-compete</w:t>
      </w:r>
      <w:r w:rsidR="00174D30">
        <w:rPr>
          <w:rFonts w:hAnsi="Times New Roman" w:cs="Times New Roman"/>
          <w:color w:val="auto"/>
        </w:rPr>
        <w:t>s</w:t>
      </w:r>
      <w:r w:rsidRPr="00DD1543">
        <w:rPr>
          <w:rFonts w:hAnsi="Times New Roman" w:cs="Times New Roman"/>
          <w:color w:val="auto"/>
        </w:rPr>
        <w:t xml:space="preserve"> to reach the result of restricting employee mobility post-employment.</w:t>
      </w:r>
      <w:r w:rsidR="00A34A38">
        <w:rPr>
          <w:rFonts w:hAnsi="Times New Roman" w:cs="Times New Roman"/>
          <w:color w:val="auto"/>
        </w:rPr>
        <w:t xml:space="preserve"> As discussed above with regards to trailer clauses, trade secrets, and the doctrine of assignor estoppel, i</w:t>
      </w:r>
      <w:r w:rsidRPr="00DD1543">
        <w:rPr>
          <w:rFonts w:hAnsi="Times New Roman" w:cs="Times New Roman"/>
          <w:color w:val="auto"/>
        </w:rPr>
        <w:t xml:space="preserve">mposing a post-employment penalty on a former employee is tantamount in </w:t>
      </w:r>
      <w:r w:rsidR="007305A7">
        <w:rPr>
          <w:rFonts w:hAnsi="Times New Roman" w:cs="Times New Roman"/>
          <w:color w:val="auto"/>
        </w:rPr>
        <w:t>its</w:t>
      </w:r>
      <w:r w:rsidR="00174D30">
        <w:rPr>
          <w:rFonts w:hAnsi="Times New Roman" w:cs="Times New Roman"/>
          <w:color w:val="auto"/>
        </w:rPr>
        <w:t xml:space="preserve"> </w:t>
      </w:r>
      <w:r w:rsidRPr="00DD1543">
        <w:rPr>
          <w:rFonts w:hAnsi="Times New Roman" w:cs="Times New Roman"/>
          <w:color w:val="auto"/>
        </w:rPr>
        <w:t xml:space="preserve">economic effect </w:t>
      </w:r>
      <w:r w:rsidR="00567AB5">
        <w:rPr>
          <w:rFonts w:hAnsi="Times New Roman" w:cs="Times New Roman"/>
          <w:color w:val="auto"/>
        </w:rPr>
        <w:t>to</w:t>
      </w:r>
      <w:r w:rsidR="00567AB5" w:rsidRPr="00DD1543">
        <w:rPr>
          <w:rFonts w:hAnsi="Times New Roman" w:cs="Times New Roman"/>
          <w:color w:val="auto"/>
        </w:rPr>
        <w:t xml:space="preserve"> </w:t>
      </w:r>
      <w:r w:rsidR="00A34A38">
        <w:rPr>
          <w:rFonts w:hAnsi="Times New Roman" w:cs="Times New Roman"/>
          <w:color w:val="auto"/>
        </w:rPr>
        <w:t>non-competes. Increasingly, a standard human capital clause is a</w:t>
      </w:r>
      <w:r w:rsidRPr="00DD1543">
        <w:rPr>
          <w:rFonts w:hAnsi="Times New Roman" w:cs="Times New Roman"/>
          <w:color w:val="auto"/>
        </w:rPr>
        <w:t xml:space="preserve"> non-solicitation </w:t>
      </w:r>
      <w:r w:rsidRPr="00DD1543">
        <w:rPr>
          <w:rFonts w:hAnsi="Times New Roman" w:cs="Times New Roman"/>
          <w:color w:val="auto"/>
          <w:shd w:val="clear" w:color="auto" w:fill="FFFFFF"/>
        </w:rPr>
        <w:t>clause</w:t>
      </w:r>
      <w:r w:rsidR="00A34A38">
        <w:rPr>
          <w:rFonts w:hAnsi="Times New Roman" w:cs="Times New Roman"/>
          <w:color w:val="auto"/>
          <w:shd w:val="clear" w:color="auto" w:fill="FFFFFF"/>
        </w:rPr>
        <w:t>,</w:t>
      </w:r>
      <w:r w:rsidRPr="00DD1543">
        <w:rPr>
          <w:rFonts w:hAnsi="Times New Roman" w:cs="Times New Roman"/>
          <w:color w:val="auto"/>
          <w:shd w:val="clear" w:color="auto" w:fill="FFFFFF"/>
        </w:rPr>
        <w:t xml:space="preserve"> an agreement in which an employee agrees not to solicit a company's clients or customers, for her own benefit or for the benefit of a future employer after leaving the company.</w:t>
      </w:r>
      <w:r w:rsidRPr="00DD1543">
        <w:rPr>
          <w:rFonts w:eastAsia="Times New Roman" w:hAnsi="Times New Roman" w:cs="Times New Roman"/>
          <w:color w:val="auto"/>
          <w:shd w:val="clear" w:color="auto" w:fill="FFFFFF"/>
          <w:vertAlign w:val="superscript"/>
        </w:rPr>
        <w:footnoteReference w:id="136"/>
      </w:r>
      <w:r w:rsidRPr="00DD1543">
        <w:rPr>
          <w:rFonts w:hAnsi="Times New Roman" w:cs="Times New Roman"/>
          <w:color w:val="auto"/>
          <w:shd w:val="clear" w:color="auto" w:fill="FFFFFF"/>
        </w:rPr>
        <w:t xml:space="preserve"> A non-dealing clause is </w:t>
      </w:r>
      <w:r w:rsidR="00846AE4">
        <w:rPr>
          <w:rFonts w:hAnsi="Times New Roman" w:cs="Times New Roman"/>
          <w:color w:val="auto"/>
          <w:shd w:val="clear" w:color="auto" w:fill="FFFFFF"/>
        </w:rPr>
        <w:t>an even</w:t>
      </w:r>
      <w:r w:rsidRPr="00DD1543">
        <w:rPr>
          <w:rFonts w:hAnsi="Times New Roman" w:cs="Times New Roman"/>
          <w:color w:val="auto"/>
          <w:shd w:val="clear" w:color="auto" w:fill="FFFFFF"/>
        </w:rPr>
        <w:t xml:space="preserve"> stronger prohibition</w:t>
      </w:r>
      <w:r w:rsidR="002D681D">
        <w:rPr>
          <w:rFonts w:hAnsi="Times New Roman" w:cs="Times New Roman"/>
          <w:color w:val="auto"/>
          <w:shd w:val="clear" w:color="auto" w:fill="FFFFFF"/>
        </w:rPr>
        <w:t xml:space="preserve"> as it </w:t>
      </w:r>
      <w:r w:rsidRPr="00DD1543">
        <w:rPr>
          <w:rFonts w:hAnsi="Times New Roman" w:cs="Times New Roman"/>
          <w:color w:val="auto"/>
          <w:shd w:val="clear" w:color="auto" w:fill="FFFFFF"/>
        </w:rPr>
        <w:t>preclud</w:t>
      </w:r>
      <w:r w:rsidR="002D681D">
        <w:rPr>
          <w:rFonts w:hAnsi="Times New Roman" w:cs="Times New Roman"/>
          <w:color w:val="auto"/>
          <w:shd w:val="clear" w:color="auto" w:fill="FFFFFF"/>
        </w:rPr>
        <w:t>es</w:t>
      </w:r>
      <w:r w:rsidRPr="00DD1543">
        <w:rPr>
          <w:rFonts w:hAnsi="Times New Roman" w:cs="Times New Roman"/>
          <w:color w:val="auto"/>
          <w:shd w:val="clear" w:color="auto" w:fill="FFFFFF"/>
        </w:rPr>
        <w:t xml:space="preserve"> the employee from</w:t>
      </w:r>
      <w:r w:rsidRPr="00DD1543">
        <w:rPr>
          <w:rFonts w:hAnsi="Times New Roman" w:cs="Times New Roman"/>
          <w:color w:val="auto"/>
        </w:rPr>
        <w:t xml:space="preserve"> dealing with the former employer's customers post-employment even if these customers approach the former employee without solicitation.</w:t>
      </w:r>
      <w:r w:rsidRPr="00DD1543">
        <w:rPr>
          <w:rFonts w:eastAsia="Times New Roman" w:hAnsi="Times New Roman" w:cs="Times New Roman"/>
          <w:color w:val="auto"/>
          <w:vertAlign w:val="superscript"/>
        </w:rPr>
        <w:footnoteReference w:id="137"/>
      </w:r>
      <w:r w:rsidRPr="00DD1543">
        <w:rPr>
          <w:rFonts w:hAnsi="Times New Roman" w:cs="Times New Roman"/>
          <w:color w:val="auto"/>
        </w:rPr>
        <w:t xml:space="preserve"> A non-poaching clause prohibits the former employee from luring away any employees of the former employer. For example, Google’s employment contract includes the following clause: </w:t>
      </w:r>
    </w:p>
    <w:p w14:paraId="4938E98B" w14:textId="77777777" w:rsidR="007A6ACD" w:rsidRDefault="007A6ACD" w:rsidP="007A6ACD">
      <w:pPr>
        <w:ind w:firstLine="720"/>
        <w:rPr>
          <w:rFonts w:hAnsi="Times New Roman" w:cs="Times New Roman"/>
          <w:color w:val="auto"/>
        </w:rPr>
      </w:pPr>
    </w:p>
    <w:p w14:paraId="27644E8B" w14:textId="77777777" w:rsidR="007F1F19" w:rsidRDefault="002318AA" w:rsidP="007A6ACD">
      <w:pPr>
        <w:ind w:left="720" w:firstLine="0"/>
        <w:rPr>
          <w:rFonts w:hAnsi="Times New Roman" w:cs="Times New Roman"/>
          <w:color w:val="auto"/>
        </w:rPr>
      </w:pPr>
      <w:r w:rsidRPr="00DD1543">
        <w:rPr>
          <w:rFonts w:hAnsi="Times New Roman" w:cs="Times New Roman"/>
          <w:color w:val="auto"/>
        </w:rPr>
        <w:t>[D]uring my employment with Google and for twelve months immediately following its termination for any reason, whether voluntary or involuntary, with or without cause, I will not directly or indirectly solicit any of Google’s emplo</w:t>
      </w:r>
      <w:r w:rsidR="007A6ACD">
        <w:rPr>
          <w:rFonts w:hAnsi="Times New Roman" w:cs="Times New Roman"/>
          <w:color w:val="auto"/>
        </w:rPr>
        <w:t>yees to leave their employment.</w:t>
      </w:r>
      <w:r w:rsidR="007A6ACD">
        <w:rPr>
          <w:rStyle w:val="FootnoteReference"/>
          <w:rFonts w:hAnsi="Times New Roman" w:cs="Times New Roman"/>
          <w:color w:val="auto"/>
        </w:rPr>
        <w:footnoteReference w:id="138"/>
      </w:r>
    </w:p>
    <w:p w14:paraId="4E25E431" w14:textId="77777777" w:rsidR="00ED6852" w:rsidRPr="00DD1543" w:rsidRDefault="00ED6852">
      <w:pPr>
        <w:rPr>
          <w:rFonts w:hAnsi="Times New Roman" w:cs="Times New Roman"/>
          <w:color w:val="auto"/>
        </w:rPr>
      </w:pPr>
    </w:p>
    <w:p w14:paraId="1EB00066" w14:textId="77777777" w:rsidR="00174D30" w:rsidRDefault="002318AA" w:rsidP="00C24430">
      <w:pPr>
        <w:shd w:val="clear" w:color="auto" w:fill="FFFFFF"/>
        <w:ind w:firstLine="720"/>
        <w:rPr>
          <w:rFonts w:hAnsi="Times New Roman" w:cs="Times New Roman"/>
          <w:color w:val="auto"/>
          <w:shd w:val="clear" w:color="auto" w:fill="FFFFFF"/>
        </w:rPr>
      </w:pPr>
      <w:r w:rsidRPr="00DD1543">
        <w:rPr>
          <w:rFonts w:hAnsi="Times New Roman" w:cs="Times New Roman"/>
          <w:color w:val="auto"/>
          <w:shd w:val="clear" w:color="auto" w:fill="FFFFFF"/>
        </w:rPr>
        <w:t>In some instances, courts even construe a non-solicitation clause as a non-dealing clause. In </w:t>
      </w:r>
      <w:r w:rsidRPr="00DD1543">
        <w:rPr>
          <w:rFonts w:hAnsi="Times New Roman" w:cs="Times New Roman"/>
          <w:i/>
          <w:iCs/>
          <w:color w:val="auto"/>
          <w:shd w:val="clear" w:color="auto" w:fill="FFFFFF"/>
        </w:rPr>
        <w:t>Manuel Lujan Insurance</w:t>
      </w:r>
      <w:r w:rsidRPr="00DD1543">
        <w:rPr>
          <w:rFonts w:hAnsi="Times New Roman" w:cs="Times New Roman"/>
          <w:color w:val="auto"/>
          <w:shd w:val="clear" w:color="auto" w:fill="FFFFFF"/>
        </w:rPr>
        <w:t>, </w:t>
      </w:r>
      <w:r w:rsidRPr="00DD1543">
        <w:rPr>
          <w:rFonts w:hAnsi="Times New Roman" w:cs="Times New Roman"/>
          <w:i/>
          <w:iCs/>
          <w:color w:val="auto"/>
          <w:shd w:val="clear" w:color="auto" w:fill="FFFFFF"/>
        </w:rPr>
        <w:t>Inc. v. Jordan</w:t>
      </w:r>
      <w:r w:rsidRPr="00DD1543">
        <w:rPr>
          <w:rFonts w:hAnsi="Times New Roman" w:cs="Times New Roman"/>
          <w:color w:val="auto"/>
          <w:shd w:val="clear" w:color="auto" w:fill="FFFFFF"/>
        </w:rPr>
        <w:t>, an insurance company employed the defendant as a manager in its bond department. Part of the employment agreement included a promise to “not for a period of two (2) years from the date of termination of employment solicit the customers (policyholders) of the Company, either directly or indirectly.” The agreement further stated that “[t]he purpose of this paragraph is to ensure that the employee for the periods set out herein, will not in any manner directly or indirectly enter into competition with the Company or the customers of the Company as of date of termination.”</w:t>
      </w:r>
      <w:r w:rsidRPr="00DD1543">
        <w:rPr>
          <w:rFonts w:hAnsi="Times New Roman" w:cs="Times New Roman"/>
          <w:color w:val="auto"/>
          <w:shd w:val="clear" w:color="auto" w:fill="FFFFFF"/>
          <w:vertAlign w:val="superscript"/>
        </w:rPr>
        <w:footnoteReference w:id="139"/>
      </w:r>
      <w:r w:rsidRPr="00DD1543">
        <w:rPr>
          <w:rFonts w:hAnsi="Times New Roman" w:cs="Times New Roman"/>
          <w:color w:val="auto"/>
          <w:shd w:val="clear" w:color="auto" w:fill="FFFFFF"/>
        </w:rPr>
        <w:t xml:space="preserve"> The trial court enjoined the former employee from soliciting or acce</w:t>
      </w:r>
      <w:r w:rsidR="007A6ACD">
        <w:rPr>
          <w:rFonts w:hAnsi="Times New Roman" w:cs="Times New Roman"/>
          <w:color w:val="auto"/>
          <w:shd w:val="clear" w:color="auto" w:fill="FFFFFF"/>
        </w:rPr>
        <w:t>pting business from the company’</w:t>
      </w:r>
      <w:r w:rsidRPr="00DD1543">
        <w:rPr>
          <w:rFonts w:hAnsi="Times New Roman" w:cs="Times New Roman"/>
          <w:color w:val="auto"/>
          <w:shd w:val="clear" w:color="auto" w:fill="FFFFFF"/>
        </w:rPr>
        <w:t>s customers. Upon appeal, the Supreme Court of New Mexico explained</w:t>
      </w:r>
      <w:r w:rsidR="002E19AF">
        <w:rPr>
          <w:rFonts w:hAnsi="Times New Roman" w:cs="Times New Roman"/>
          <w:color w:val="auto"/>
          <w:shd w:val="clear" w:color="auto" w:fill="FFFFFF"/>
        </w:rPr>
        <w:t>:</w:t>
      </w:r>
    </w:p>
    <w:p w14:paraId="610BFF4D" w14:textId="77777777" w:rsidR="002103C0" w:rsidRDefault="002103C0" w:rsidP="002103C0">
      <w:pPr>
        <w:shd w:val="clear" w:color="auto" w:fill="FFFFFF"/>
        <w:ind w:left="720" w:right="720" w:firstLine="0"/>
        <w:rPr>
          <w:rFonts w:hAnsi="Times New Roman" w:cs="Times New Roman"/>
          <w:color w:val="auto"/>
          <w:shd w:val="clear" w:color="auto" w:fill="FFFFFF"/>
        </w:rPr>
      </w:pPr>
    </w:p>
    <w:p w14:paraId="244E1A4C" w14:textId="77777777" w:rsidR="00174D30" w:rsidRDefault="00174D30" w:rsidP="002103C0">
      <w:pPr>
        <w:shd w:val="clear" w:color="auto" w:fill="FFFFFF"/>
        <w:ind w:left="720" w:right="720" w:firstLine="0"/>
        <w:rPr>
          <w:rFonts w:hAnsi="Times New Roman" w:cs="Times New Roman"/>
          <w:color w:val="auto"/>
        </w:rPr>
      </w:pPr>
      <w:r>
        <w:rPr>
          <w:rFonts w:hAnsi="Times New Roman" w:cs="Times New Roman"/>
          <w:color w:val="auto"/>
          <w:shd w:val="clear" w:color="auto" w:fill="FFFFFF"/>
        </w:rPr>
        <w:t>I</w:t>
      </w:r>
      <w:r w:rsidR="002318AA" w:rsidRPr="00DD1543">
        <w:rPr>
          <w:rFonts w:hAnsi="Times New Roman" w:cs="Times New Roman"/>
          <w:color w:val="auto"/>
          <w:shd w:val="clear" w:color="auto" w:fill="FFFFFF"/>
        </w:rPr>
        <w:t>t is not clear whether the word “solicit” should be narrowly interpreted as precluding on</w:t>
      </w:r>
      <w:r w:rsidR="007A6ACD">
        <w:rPr>
          <w:rFonts w:hAnsi="Times New Roman" w:cs="Times New Roman"/>
          <w:color w:val="auto"/>
          <w:shd w:val="clear" w:color="auto" w:fill="FFFFFF"/>
        </w:rPr>
        <w:t xml:space="preserve">ly solicitation but allowing to </w:t>
      </w:r>
      <w:r w:rsidR="002318AA" w:rsidRPr="00DD1543">
        <w:rPr>
          <w:rFonts w:hAnsi="Times New Roman" w:cs="Times New Roman"/>
          <w:color w:val="auto"/>
          <w:shd w:val="clear" w:color="auto" w:fill="FFFFFF"/>
        </w:rPr>
        <w:t xml:space="preserve">accept the unsolicited business of customers. On the other hand, inclusion of the non-competition provision in the second sentence may be viewed as including prohibitions against any acceptance of, or competition for, the customers. </w:t>
      </w:r>
      <w:r w:rsidR="002318AA" w:rsidRPr="00DD1543">
        <w:rPr>
          <w:rFonts w:hAnsi="Times New Roman" w:cs="Times New Roman"/>
          <w:color w:val="auto"/>
        </w:rPr>
        <w:t xml:space="preserve"> </w:t>
      </w:r>
    </w:p>
    <w:p w14:paraId="6353899C" w14:textId="77777777" w:rsidR="002103C0" w:rsidRDefault="002103C0" w:rsidP="00C24430">
      <w:pPr>
        <w:shd w:val="clear" w:color="auto" w:fill="FFFFFF"/>
        <w:ind w:firstLine="720"/>
        <w:rPr>
          <w:rFonts w:hAnsi="Times New Roman" w:cs="Times New Roman"/>
          <w:color w:val="auto"/>
        </w:rPr>
      </w:pPr>
    </w:p>
    <w:p w14:paraId="16D301C3" w14:textId="0B1AB1D6" w:rsidR="003C1F18" w:rsidRPr="00DD1543" w:rsidRDefault="002318AA" w:rsidP="002474A1">
      <w:pPr>
        <w:shd w:val="clear" w:color="auto" w:fill="FFFFFF"/>
        <w:ind w:firstLine="720"/>
        <w:rPr>
          <w:rFonts w:hAnsi="Times New Roman" w:cs="Times New Roman"/>
          <w:color w:val="auto"/>
        </w:rPr>
      </w:pPr>
      <w:r w:rsidRPr="00DD1543">
        <w:rPr>
          <w:rFonts w:hAnsi="Times New Roman" w:cs="Times New Roman"/>
          <w:color w:val="auto"/>
        </w:rPr>
        <w:t>The court concluded that</w:t>
      </w:r>
      <w:r w:rsidR="00F97638">
        <w:rPr>
          <w:rFonts w:hAnsi="Times New Roman" w:cs="Times New Roman"/>
          <w:color w:val="auto"/>
        </w:rPr>
        <w:t>,</w:t>
      </w:r>
      <w:r w:rsidRPr="00DD1543">
        <w:rPr>
          <w:rFonts w:hAnsi="Times New Roman" w:cs="Times New Roman"/>
          <w:color w:val="auto"/>
        </w:rPr>
        <w:t xml:space="preserve"> looking at </w:t>
      </w:r>
      <w:r w:rsidRPr="00DD1543">
        <w:rPr>
          <w:rFonts w:hAnsi="Times New Roman" w:cs="Times New Roman"/>
          <w:color w:val="auto"/>
          <w:shd w:val="clear" w:color="auto" w:fill="FFFFFF"/>
        </w:rPr>
        <w:t>the totality of the wording in the contract and the surrounding evidence presented in court,</w:t>
      </w:r>
      <w:r w:rsidR="00F97638">
        <w:rPr>
          <w:rFonts w:hAnsi="Times New Roman" w:cs="Times New Roman"/>
          <w:color w:val="auto"/>
          <w:shd w:val="clear" w:color="auto" w:fill="FFFFFF"/>
        </w:rPr>
        <w:t xml:space="preserve"> it was</w:t>
      </w:r>
      <w:r w:rsidRPr="00DD1543">
        <w:rPr>
          <w:rFonts w:hAnsi="Times New Roman" w:cs="Times New Roman"/>
          <w:color w:val="auto"/>
          <w:shd w:val="clear" w:color="auto" w:fill="FFFFFF"/>
        </w:rPr>
        <w:t xml:space="preserve"> “apparent that the parties intended that [the former employee] be restricted from competing by not soliciting or accepting business from customers.” The court </w:t>
      </w:r>
      <w:r w:rsidR="007A6ACD">
        <w:rPr>
          <w:rFonts w:hAnsi="Times New Roman" w:cs="Times New Roman"/>
          <w:color w:val="auto"/>
          <w:shd w:val="clear" w:color="auto" w:fill="FFFFFF"/>
        </w:rPr>
        <w:t>thus held that the contract should be read as</w:t>
      </w:r>
      <w:r w:rsidRPr="00DD1543">
        <w:rPr>
          <w:rFonts w:hAnsi="Times New Roman" w:cs="Times New Roman"/>
          <w:color w:val="auto"/>
          <w:shd w:val="clear" w:color="auto" w:fill="FFFFFF"/>
        </w:rPr>
        <w:t xml:space="preserve"> a comprehensive ban on acceptance, </w:t>
      </w:r>
      <w:r w:rsidR="00087298">
        <w:rPr>
          <w:rFonts w:hAnsi="Times New Roman" w:cs="Times New Roman"/>
          <w:color w:val="auto"/>
          <w:shd w:val="clear" w:color="auto" w:fill="FFFFFF"/>
        </w:rPr>
        <w:t>rather than</w:t>
      </w:r>
      <w:r w:rsidR="00087298" w:rsidRPr="00DD1543">
        <w:rPr>
          <w:rFonts w:hAnsi="Times New Roman" w:cs="Times New Roman"/>
          <w:color w:val="auto"/>
          <w:shd w:val="clear" w:color="auto" w:fill="FFFFFF"/>
        </w:rPr>
        <w:t xml:space="preserve"> </w:t>
      </w:r>
      <w:r w:rsidRPr="00DD1543">
        <w:rPr>
          <w:rFonts w:hAnsi="Times New Roman" w:cs="Times New Roman"/>
          <w:color w:val="auto"/>
          <w:shd w:val="clear" w:color="auto" w:fill="FFFFFF"/>
        </w:rPr>
        <w:t>merely a</w:t>
      </w:r>
      <w:r w:rsidR="007A6ACD">
        <w:rPr>
          <w:rFonts w:hAnsi="Times New Roman" w:cs="Times New Roman"/>
          <w:color w:val="auto"/>
          <w:shd w:val="clear" w:color="auto" w:fill="FFFFFF"/>
        </w:rPr>
        <w:t xml:space="preserve"> narrow promise not to solicit.</w:t>
      </w:r>
      <w:r w:rsidR="003C1F18">
        <w:rPr>
          <w:rFonts w:hAnsi="Times New Roman" w:cs="Times New Roman"/>
          <w:color w:val="auto"/>
          <w:shd w:val="clear" w:color="auto" w:fill="FFFFFF"/>
        </w:rPr>
        <w:t xml:space="preserve"> </w:t>
      </w:r>
      <w:r w:rsidR="003C1F18">
        <w:rPr>
          <w:rFonts w:hAnsi="Times New Roman" w:cs="Times New Roman"/>
          <w:color w:val="auto"/>
        </w:rPr>
        <w:t xml:space="preserve">Even in the absence of express non-solicitation agreements, </w:t>
      </w:r>
      <w:r w:rsidR="003C1F18" w:rsidRPr="00DD1543">
        <w:rPr>
          <w:rFonts w:hAnsi="Times New Roman" w:cs="Times New Roman"/>
          <w:color w:val="auto"/>
        </w:rPr>
        <w:t xml:space="preserve">client lists </w:t>
      </w:r>
      <w:r w:rsidR="003C1F18">
        <w:rPr>
          <w:rFonts w:hAnsi="Times New Roman" w:cs="Times New Roman"/>
          <w:color w:val="auto"/>
        </w:rPr>
        <w:t>are often considered</w:t>
      </w:r>
      <w:r w:rsidR="003C1F18" w:rsidRPr="00DD1543">
        <w:rPr>
          <w:rFonts w:hAnsi="Times New Roman" w:cs="Times New Roman"/>
          <w:color w:val="auto"/>
        </w:rPr>
        <w:t xml:space="preserve"> trade secrets</w:t>
      </w:r>
      <w:r w:rsidR="002474A1">
        <w:rPr>
          <w:rFonts w:hAnsi="Times New Roman" w:cs="Times New Roman"/>
          <w:color w:val="auto"/>
        </w:rPr>
        <w:t>, at the very least if such lists</w:t>
      </w:r>
      <w:r w:rsidR="003C1F18">
        <w:rPr>
          <w:rFonts w:hAnsi="Times New Roman" w:cs="Times New Roman"/>
          <w:color w:val="auto"/>
        </w:rPr>
        <w:t xml:space="preserve"> contain information that is not easily ascertainable through publicly available lists, such as details about the clients’ past orders or any information that could undercut a competitor’s pricing beyond merely the names and contacts of clients</w:t>
      </w:r>
      <w:r w:rsidR="003C1F18">
        <w:rPr>
          <w:rFonts w:ascii="Times" w:hAnsi="Times"/>
        </w:rPr>
        <w:t>.</w:t>
      </w:r>
      <w:r w:rsidR="003C1F18">
        <w:rPr>
          <w:rStyle w:val="FootnoteReference"/>
          <w:rFonts w:ascii="Times" w:hAnsi="Times"/>
        </w:rPr>
        <w:footnoteReference w:id="140"/>
      </w:r>
      <w:r w:rsidR="003C1F18">
        <w:rPr>
          <w:rFonts w:ascii="Times" w:hAnsi="Times"/>
        </w:rPr>
        <w:t xml:space="preserve"> </w:t>
      </w:r>
    </w:p>
    <w:p w14:paraId="37F75262" w14:textId="77777777" w:rsidR="007F1F19" w:rsidRPr="00DD1543" w:rsidRDefault="007F1F19">
      <w:pPr>
        <w:shd w:val="clear" w:color="auto" w:fill="FFFFFF"/>
        <w:rPr>
          <w:rFonts w:hAnsi="Times New Roman" w:cs="Times New Roman"/>
          <w:color w:val="auto"/>
        </w:rPr>
      </w:pPr>
    </w:p>
    <w:p w14:paraId="26204A73" w14:textId="77777777" w:rsidR="007F1F19" w:rsidRPr="00DD1543" w:rsidRDefault="000F044E" w:rsidP="00F528E6">
      <w:pPr>
        <w:spacing w:after="240"/>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Non-poaching and non-hiring clauses round out the list of untouchables</w:t>
      </w:r>
      <w:r w:rsidR="007A6ACD">
        <w:rPr>
          <w:rFonts w:hAnsi="Times New Roman" w:cs="Times New Roman"/>
          <w:color w:val="auto"/>
        </w:rPr>
        <w:t xml:space="preserve"> – </w:t>
      </w:r>
      <w:r w:rsidR="00C03612">
        <w:rPr>
          <w:rFonts w:hAnsi="Times New Roman" w:cs="Times New Roman"/>
          <w:color w:val="auto"/>
        </w:rPr>
        <w:t>expanding ownership</w:t>
      </w:r>
      <w:r w:rsidR="007A6ACD">
        <w:rPr>
          <w:rFonts w:hAnsi="Times New Roman" w:cs="Times New Roman"/>
          <w:color w:val="auto"/>
        </w:rPr>
        <w:t xml:space="preserve"> from clients to co-workers -</w:t>
      </w:r>
      <w:r w:rsidR="00F97638">
        <w:rPr>
          <w:rFonts w:hAnsi="Times New Roman" w:cs="Times New Roman"/>
          <w:color w:val="auto"/>
        </w:rPr>
        <w:t xml:space="preserve"> by</w:t>
      </w:r>
      <w:r w:rsidR="002318AA" w:rsidRPr="00DD1543">
        <w:rPr>
          <w:rFonts w:hAnsi="Times New Roman" w:cs="Times New Roman"/>
          <w:color w:val="auto"/>
        </w:rPr>
        <w:t xml:space="preserve"> stripping former employees of their professional network. In some instances, like with non-solicitation, courts have interpreted non-poaching clauses as an absolute prohibition of hiring former co-workers. For example, in </w:t>
      </w:r>
      <w:r w:rsidR="002318AA" w:rsidRPr="00DD1543">
        <w:rPr>
          <w:rFonts w:hAnsi="Times New Roman" w:cs="Times New Roman"/>
          <w:i/>
          <w:iCs/>
          <w:color w:val="auto"/>
        </w:rPr>
        <w:t>International Security Management Group, Inc. v. Sawyer</w:t>
      </w:r>
      <w:r w:rsidR="002318AA" w:rsidRPr="00DD1543">
        <w:rPr>
          <w:rFonts w:hAnsi="Times New Roman" w:cs="Times New Roman"/>
          <w:color w:val="auto"/>
        </w:rPr>
        <w:t>, an employee signed a contract agreeing that he would not “solicit” any co-worker to “terminate that person's employment and to accept employment with” a competitor.</w:t>
      </w:r>
      <w:r w:rsidR="002318AA" w:rsidRPr="00DD1543">
        <w:rPr>
          <w:rFonts w:hAnsi="Times New Roman" w:cs="Times New Roman"/>
          <w:color w:val="auto"/>
          <w:vertAlign w:val="superscript"/>
        </w:rPr>
        <w:footnoteReference w:id="141"/>
      </w:r>
      <w:r w:rsidR="002318AA" w:rsidRPr="00DD1543">
        <w:rPr>
          <w:rFonts w:hAnsi="Times New Roman" w:cs="Times New Roman"/>
          <w:color w:val="auto"/>
        </w:rPr>
        <w:t xml:space="preserve"> The former employee was approached by former co-workers </w:t>
      </w:r>
      <w:r w:rsidR="0035738F">
        <w:rPr>
          <w:rFonts w:hAnsi="Times New Roman" w:cs="Times New Roman"/>
          <w:color w:val="auto"/>
        </w:rPr>
        <w:t xml:space="preserve">after </w:t>
      </w:r>
      <w:r w:rsidR="00097514">
        <w:rPr>
          <w:rFonts w:hAnsi="Times New Roman" w:cs="Times New Roman"/>
          <w:color w:val="auto"/>
        </w:rPr>
        <w:t>placing</w:t>
      </w:r>
      <w:r w:rsidR="002318AA" w:rsidRPr="00DD1543">
        <w:rPr>
          <w:rFonts w:hAnsi="Times New Roman" w:cs="Times New Roman"/>
          <w:color w:val="auto"/>
        </w:rPr>
        <w:t xml:space="preserve"> an ad in the local newspaper. </w:t>
      </w:r>
      <w:bookmarkStart w:id="21" w:name="SDU_16"/>
      <w:r w:rsidR="002318AA" w:rsidRPr="00DD1543">
        <w:rPr>
          <w:rFonts w:hAnsi="Times New Roman" w:cs="Times New Roman"/>
          <w:color w:val="auto"/>
        </w:rPr>
        <w:t>A Tennessee federal district court held that “the extension of a job offer alone would qualify as solicitation, as it constitutes ‘an instance of requesting or seeking to obtain something.</w:t>
      </w:r>
      <w:r w:rsidR="008906C6">
        <w:rPr>
          <w:rFonts w:hAnsi="Times New Roman" w:cs="Times New Roman"/>
          <w:color w:val="auto"/>
        </w:rPr>
        <w:t>’</w:t>
      </w:r>
      <w:r w:rsidR="002318AA" w:rsidRPr="00DD1543">
        <w:rPr>
          <w:rFonts w:hAnsi="Times New Roman" w:cs="Times New Roman"/>
          <w:color w:val="auto"/>
        </w:rPr>
        <w:t>”</w:t>
      </w:r>
      <w:bookmarkEnd w:id="21"/>
      <w:r w:rsidR="002318AA" w:rsidRPr="00DD1543">
        <w:rPr>
          <w:rFonts w:hAnsi="Times New Roman" w:cs="Times New Roman"/>
          <w:color w:val="auto"/>
        </w:rPr>
        <w:t xml:space="preserve"> At the same time, other courts have construed non-solicitation clauses more narrowly,</w:t>
      </w:r>
      <w:r w:rsidR="00D67657" w:rsidRPr="00D67657">
        <w:rPr>
          <w:rFonts w:eastAsia="Times New Roman"/>
        </w:rPr>
        <w:t xml:space="preserve"> </w:t>
      </w:r>
      <w:r w:rsidR="00F97638">
        <w:rPr>
          <w:rFonts w:hAnsi="Times New Roman" w:cs="Times New Roman"/>
          <w:color w:val="auto"/>
        </w:rPr>
        <w:t xml:space="preserve">as only prohibiting </w:t>
      </w:r>
      <w:r w:rsidR="002318AA" w:rsidRPr="00DD1543">
        <w:rPr>
          <w:rFonts w:hAnsi="Times New Roman" w:cs="Times New Roman"/>
          <w:color w:val="auto"/>
        </w:rPr>
        <w:t>active and specific inducement.</w:t>
      </w:r>
      <w:r w:rsidR="002318AA" w:rsidRPr="00DD1543">
        <w:rPr>
          <w:rFonts w:hAnsi="Times New Roman" w:cs="Times New Roman"/>
          <w:color w:val="auto"/>
          <w:vertAlign w:val="superscript"/>
        </w:rPr>
        <w:footnoteReference w:id="142"/>
      </w:r>
      <w:r w:rsidR="002318AA" w:rsidRPr="00DD1543">
        <w:rPr>
          <w:rFonts w:hAnsi="Times New Roman" w:cs="Times New Roman"/>
          <w:color w:val="auto"/>
        </w:rPr>
        <w:t xml:space="preserve"> To expand the reach of the prohibition</w:t>
      </w:r>
      <w:r w:rsidR="00A8038F">
        <w:rPr>
          <w:rFonts w:hAnsi="Times New Roman" w:cs="Times New Roman"/>
          <w:color w:val="auto"/>
        </w:rPr>
        <w:t xml:space="preserve"> more explicitly</w:t>
      </w:r>
      <w:r w:rsidR="002318AA" w:rsidRPr="00DD1543">
        <w:rPr>
          <w:rFonts w:hAnsi="Times New Roman" w:cs="Times New Roman"/>
          <w:color w:val="auto"/>
        </w:rPr>
        <w:t>, non-hiring clauses encompass the more passive instances in which a co-worker approaches the former employee for a job.</w:t>
      </w:r>
      <w:r w:rsidR="002318AA" w:rsidRPr="00DD1543">
        <w:rPr>
          <w:rFonts w:hAnsi="Times New Roman" w:cs="Times New Roman"/>
          <w:color w:val="auto"/>
          <w:vertAlign w:val="superscript"/>
        </w:rPr>
        <w:footnoteReference w:id="143"/>
      </w:r>
      <w:r w:rsidR="003C1F18">
        <w:rPr>
          <w:rFonts w:hAnsi="Times New Roman" w:cs="Times New Roman"/>
          <w:color w:val="auto"/>
        </w:rPr>
        <w:t xml:space="preserve"> All of these clauses, targeting the connections formed between former employees and their professional networks, </w:t>
      </w:r>
      <w:r w:rsidR="003C1F18" w:rsidRPr="00DD1543">
        <w:rPr>
          <w:rFonts w:hAnsi="Times New Roman" w:cs="Times New Roman"/>
          <w:color w:val="auto"/>
        </w:rPr>
        <w:t>impose</w:t>
      </w:r>
      <w:r w:rsidR="003C1F18">
        <w:rPr>
          <w:rFonts w:hAnsi="Times New Roman" w:cs="Times New Roman"/>
          <w:color w:val="auto"/>
        </w:rPr>
        <w:t xml:space="preserve"> a competition penalty on former employees and function </w:t>
      </w:r>
      <w:r w:rsidR="003C1F18" w:rsidRPr="00DD1543">
        <w:rPr>
          <w:rFonts w:hAnsi="Times New Roman" w:cs="Times New Roman"/>
          <w:color w:val="auto"/>
        </w:rPr>
        <w:t>equivalent</w:t>
      </w:r>
      <w:r w:rsidR="003C1F18">
        <w:rPr>
          <w:rFonts w:hAnsi="Times New Roman" w:cs="Times New Roman"/>
          <w:color w:val="auto"/>
        </w:rPr>
        <w:t>ly</w:t>
      </w:r>
      <w:r w:rsidR="003C1F18" w:rsidRPr="00DD1543">
        <w:rPr>
          <w:rFonts w:hAnsi="Times New Roman" w:cs="Times New Roman"/>
          <w:color w:val="auto"/>
        </w:rPr>
        <w:t xml:space="preserve"> </w:t>
      </w:r>
      <w:r w:rsidR="003C1F18">
        <w:rPr>
          <w:rFonts w:hAnsi="Times New Roman" w:cs="Times New Roman"/>
          <w:color w:val="auto"/>
        </w:rPr>
        <w:t>to</w:t>
      </w:r>
      <w:r w:rsidR="003C1F18" w:rsidRPr="00DD1543">
        <w:rPr>
          <w:rFonts w:hAnsi="Times New Roman" w:cs="Times New Roman"/>
          <w:color w:val="auto"/>
        </w:rPr>
        <w:t xml:space="preserve"> non-competes.</w:t>
      </w:r>
      <w:r w:rsidR="003C1F18" w:rsidRPr="003C1F18">
        <w:rPr>
          <w:rFonts w:ascii="Times" w:hAnsi="Times"/>
        </w:rPr>
        <w:t xml:space="preserve"> </w:t>
      </w:r>
      <w:r w:rsidR="003C1F18">
        <w:rPr>
          <w:rFonts w:ascii="Times" w:hAnsi="Times"/>
        </w:rPr>
        <w:t>Courts have largely accepted</w:t>
      </w:r>
      <w:r w:rsidR="00CE00AB">
        <w:rPr>
          <w:rFonts w:ascii="Times" w:hAnsi="Times"/>
        </w:rPr>
        <w:t xml:space="preserve"> that</w:t>
      </w:r>
      <w:r w:rsidR="003C1F18">
        <w:rPr>
          <w:rFonts w:ascii="Times" w:hAnsi="Times"/>
        </w:rPr>
        <w:t xml:space="preserve"> </w:t>
      </w:r>
      <w:r w:rsidR="00C16262">
        <w:rPr>
          <w:rFonts w:ascii="Times" w:hAnsi="Times"/>
        </w:rPr>
        <w:t xml:space="preserve">using </w:t>
      </w:r>
      <w:r>
        <w:rPr>
          <w:rFonts w:ascii="Times" w:hAnsi="Times"/>
        </w:rPr>
        <w:t xml:space="preserve">prior </w:t>
      </w:r>
      <w:r w:rsidR="003C1F18">
        <w:rPr>
          <w:rFonts w:ascii="Times" w:hAnsi="Times"/>
        </w:rPr>
        <w:t xml:space="preserve">knowledge and experience in an attempt to compete over customers and market talent </w:t>
      </w:r>
      <w:r w:rsidR="002474A1">
        <w:rPr>
          <w:rFonts w:ascii="Times" w:hAnsi="Times"/>
        </w:rPr>
        <w:t>breaches upon corporate rights to</w:t>
      </w:r>
      <w:r w:rsidR="003C1F18">
        <w:rPr>
          <w:rFonts w:ascii="Times" w:hAnsi="Times"/>
        </w:rPr>
        <w:t xml:space="preserve"> cognitive property.</w:t>
      </w:r>
    </w:p>
    <w:p w14:paraId="3FD4F73E" w14:textId="77777777" w:rsidR="007F1F19" w:rsidRPr="00DD1543" w:rsidRDefault="007F1F19">
      <w:pPr>
        <w:rPr>
          <w:rFonts w:hAnsi="Times New Roman" w:cs="Times New Roman"/>
          <w:color w:val="auto"/>
        </w:rPr>
      </w:pPr>
    </w:p>
    <w:p w14:paraId="681DDAB7" w14:textId="77777777" w:rsidR="007F1F19" w:rsidRPr="00DD1543" w:rsidRDefault="002318AA">
      <w:pPr>
        <w:pStyle w:val="Heading3"/>
        <w:numPr>
          <w:ilvl w:val="2"/>
          <w:numId w:val="14"/>
        </w:numPr>
        <w:rPr>
          <w:color w:val="auto"/>
        </w:rPr>
      </w:pPr>
      <w:bookmarkStart w:id="22" w:name="_Toc399167397"/>
      <w:r w:rsidRPr="00DD1543">
        <w:rPr>
          <w:color w:val="auto"/>
        </w:rPr>
        <w:t>Cognitive Cartels</w:t>
      </w:r>
      <w:bookmarkEnd w:id="22"/>
    </w:p>
    <w:p w14:paraId="5C5C8C79" w14:textId="77777777" w:rsidR="007F1F19" w:rsidRPr="00DD1543" w:rsidRDefault="007F1F19">
      <w:pPr>
        <w:rPr>
          <w:rFonts w:hAnsi="Times New Roman" w:cs="Times New Roman"/>
          <w:color w:val="auto"/>
        </w:rPr>
      </w:pPr>
    </w:p>
    <w:p w14:paraId="6585F0AC" w14:textId="77777777" w:rsidR="00BA1C09" w:rsidRDefault="002318AA" w:rsidP="00BA1C09">
      <w:pPr>
        <w:ind w:firstLine="720"/>
        <w:rPr>
          <w:rFonts w:hAnsi="Times New Roman" w:cs="Times New Roman"/>
          <w:color w:val="auto"/>
        </w:rPr>
      </w:pPr>
      <w:r w:rsidRPr="00DD1543">
        <w:rPr>
          <w:rFonts w:hAnsi="Times New Roman" w:cs="Times New Roman"/>
          <w:color w:val="auto"/>
        </w:rPr>
        <w:t xml:space="preserve">Starting in 2005, top executives at Google, Apple, </w:t>
      </w:r>
      <w:r w:rsidR="00BA1C09">
        <w:rPr>
          <w:rFonts w:hAnsi="Times New Roman" w:cs="Times New Roman"/>
          <w:color w:val="auto"/>
        </w:rPr>
        <w:t xml:space="preserve">Adobe, </w:t>
      </w:r>
      <w:r w:rsidRPr="00DD1543">
        <w:rPr>
          <w:rFonts w:hAnsi="Times New Roman" w:cs="Times New Roman"/>
          <w:color w:val="auto"/>
        </w:rPr>
        <w:t xml:space="preserve">Intel, Intuit, </w:t>
      </w:r>
      <w:r w:rsidR="00264104">
        <w:rPr>
          <w:rFonts w:hAnsi="Times New Roman" w:cs="Times New Roman"/>
          <w:color w:val="auto"/>
        </w:rPr>
        <w:t xml:space="preserve">Pixar, </w:t>
      </w:r>
      <w:r w:rsidR="00BA1C09">
        <w:rPr>
          <w:rFonts w:hAnsi="Times New Roman" w:cs="Times New Roman"/>
          <w:color w:val="auto"/>
        </w:rPr>
        <w:t xml:space="preserve">Lucas Film, </w:t>
      </w:r>
      <w:r w:rsidRPr="00DD1543">
        <w:rPr>
          <w:rFonts w:hAnsi="Times New Roman" w:cs="Times New Roman"/>
          <w:color w:val="auto"/>
        </w:rPr>
        <w:t xml:space="preserve">eBay and other major high tech companies reached gentlemen’s agreements to not hire each other’s employees. </w:t>
      </w:r>
      <w:r w:rsidR="00264104" w:rsidRPr="00DD1543">
        <w:rPr>
          <w:rFonts w:hAnsi="Times New Roman" w:cs="Times New Roman"/>
          <w:color w:val="auto"/>
        </w:rPr>
        <w:t xml:space="preserve">The </w:t>
      </w:r>
      <w:r w:rsidR="00264104">
        <w:rPr>
          <w:rFonts w:hAnsi="Times New Roman" w:cs="Times New Roman"/>
          <w:color w:val="auto"/>
        </w:rPr>
        <w:t>no-hire</w:t>
      </w:r>
      <w:r w:rsidR="00264104" w:rsidRPr="00DD1543">
        <w:rPr>
          <w:rFonts w:hAnsi="Times New Roman" w:cs="Times New Roman"/>
          <w:color w:val="auto"/>
        </w:rPr>
        <w:t xml:space="preserve"> agreements covered the entire workforce of each company and were not limited by geography, job function, product group, or time period. </w:t>
      </w:r>
      <w:r w:rsidRPr="00DD1543">
        <w:rPr>
          <w:rFonts w:hAnsi="Times New Roman" w:cs="Times New Roman"/>
          <w:color w:val="auto"/>
        </w:rPr>
        <w:t xml:space="preserve">In 2010, the Antitrust Division of the United States Department of Justice filed a complaint against </w:t>
      </w:r>
      <w:r w:rsidR="00264104">
        <w:rPr>
          <w:rFonts w:hAnsi="Times New Roman" w:cs="Times New Roman"/>
          <w:color w:val="auto"/>
        </w:rPr>
        <w:t xml:space="preserve">these </w:t>
      </w:r>
      <w:r w:rsidRPr="00DD1543">
        <w:rPr>
          <w:rFonts w:hAnsi="Times New Roman" w:cs="Times New Roman"/>
          <w:color w:val="auto"/>
        </w:rPr>
        <w:t>tech giants</w:t>
      </w:r>
      <w:r w:rsidR="00264104">
        <w:rPr>
          <w:rFonts w:hAnsi="Times New Roman" w:cs="Times New Roman"/>
          <w:color w:val="auto"/>
        </w:rPr>
        <w:t xml:space="preserve">, deeming such do-not-hire agreements to </w:t>
      </w:r>
      <w:r w:rsidRPr="00DD1543">
        <w:rPr>
          <w:rFonts w:hAnsi="Times New Roman" w:cs="Times New Roman"/>
          <w:color w:val="auto"/>
        </w:rPr>
        <w:t xml:space="preserve">be collusive restraints on trade and competition. The breadth of the agreements led the Department of Justice to conclude that these agreements were </w:t>
      </w:r>
      <w:r w:rsidRPr="00DD1543">
        <w:rPr>
          <w:rFonts w:hAnsi="Times New Roman" w:cs="Times New Roman"/>
          <w:i/>
          <w:iCs/>
          <w:color w:val="auto"/>
        </w:rPr>
        <w:t>per se</w:t>
      </w:r>
      <w:r w:rsidRPr="00DD1543">
        <w:rPr>
          <w:rFonts w:hAnsi="Times New Roman" w:cs="Times New Roman"/>
          <w:color w:val="auto"/>
        </w:rPr>
        <w:t xml:space="preserve"> violations of American antitrust law. The settlement reached between the Department of Justice and</w:t>
      </w:r>
      <w:r w:rsidR="00B87FD0">
        <w:rPr>
          <w:rFonts w:hAnsi="Times New Roman" w:cs="Times New Roman"/>
          <w:color w:val="auto"/>
        </w:rPr>
        <w:t xml:space="preserve"> the high-tech companies enjoins </w:t>
      </w:r>
      <w:r w:rsidRPr="00DD1543">
        <w:rPr>
          <w:rFonts w:hAnsi="Times New Roman" w:cs="Times New Roman"/>
          <w:color w:val="auto"/>
        </w:rPr>
        <w:t>the non-solicit agreements and, more broadly, prohibits agreements regarding solicitation and recruitment.</w:t>
      </w:r>
      <w:r w:rsidR="00BA1C09" w:rsidRPr="00DD1543">
        <w:rPr>
          <w:rFonts w:hAnsi="Times New Roman" w:cs="Times New Roman"/>
          <w:color w:val="auto"/>
        </w:rPr>
        <w:t xml:space="preserve"> </w:t>
      </w:r>
      <w:r w:rsidR="00BA1C09">
        <w:rPr>
          <w:rFonts w:hAnsi="Times New Roman" w:cs="Times New Roman"/>
          <w:color w:val="auto"/>
        </w:rPr>
        <w:t>The Department of Justice stated:</w:t>
      </w:r>
    </w:p>
    <w:p w14:paraId="5E6ED3D8" w14:textId="77777777" w:rsidR="00BA1C09" w:rsidRDefault="00BA1C09" w:rsidP="00BA1C09">
      <w:pPr>
        <w:ind w:left="1440" w:firstLine="0"/>
        <w:rPr>
          <w:rFonts w:hAnsi="Times New Roman" w:cs="Times New Roman"/>
          <w:color w:val="auto"/>
        </w:rPr>
      </w:pPr>
    </w:p>
    <w:p w14:paraId="5CC1EBBF" w14:textId="77777777" w:rsidR="00BA1C09" w:rsidRDefault="00BA1C09" w:rsidP="00BA1C09">
      <w:pPr>
        <w:ind w:left="720" w:right="720" w:firstLine="0"/>
        <w:rPr>
          <w:rFonts w:hAnsi="Times New Roman" w:cs="Times New Roman"/>
          <w:color w:val="auto"/>
        </w:rPr>
      </w:pPr>
      <w:r w:rsidRPr="00DD1543">
        <w:rPr>
          <w:rFonts w:hAnsi="Times New Roman" w:cs="Times New Roman"/>
          <w:color w:val="auto"/>
        </w:rPr>
        <w:t>These actions by the Antitrust Division remind us all that the antitrust laws guarantee the benefits of competition to all consumers, including working men and women.</w:t>
      </w:r>
      <w:r w:rsidR="00AE21A5">
        <w:rPr>
          <w:rFonts w:hAnsi="Times New Roman" w:cs="Times New Roman"/>
          <w:color w:val="auto"/>
        </w:rPr>
        <w:t xml:space="preserve"> </w:t>
      </w:r>
      <w:r w:rsidRPr="00DD1543">
        <w:rPr>
          <w:rFonts w:hAnsi="Times New Roman" w:cs="Times New Roman"/>
          <w:color w:val="auto"/>
        </w:rPr>
        <w:t>The agreements we challenged here not only harmed the overall competitive process but, importantly, harmed specialized and much sought after technology employees who were prevented from getting better jobs and higher salaries. Stifling opportunities for these talented and highly-skilled individuals was bad for them and bad for innovation in high-tech industries.</w:t>
      </w:r>
      <w:bookmarkStart w:id="23" w:name="_Ref266019008"/>
      <w:r w:rsidRPr="00DD1543">
        <w:rPr>
          <w:rFonts w:hAnsi="Times New Roman" w:cs="Times New Roman"/>
          <w:color w:val="auto"/>
          <w:vertAlign w:val="superscript"/>
        </w:rPr>
        <w:footnoteReference w:id="144"/>
      </w:r>
      <w:bookmarkEnd w:id="23"/>
    </w:p>
    <w:p w14:paraId="167DD5E8" w14:textId="77777777" w:rsidR="00BA1C09" w:rsidRDefault="00BA1C09" w:rsidP="00BA1C09">
      <w:pPr>
        <w:ind w:firstLine="720"/>
        <w:rPr>
          <w:rFonts w:hAnsi="Times New Roman" w:cs="Times New Roman"/>
          <w:color w:val="auto"/>
        </w:rPr>
      </w:pPr>
    </w:p>
    <w:p w14:paraId="7483DEC0" w14:textId="77777777" w:rsidR="00BA1C09" w:rsidRDefault="00B87FD0" w:rsidP="00BA1C09">
      <w:pPr>
        <w:ind w:firstLine="720"/>
        <w:rPr>
          <w:rFonts w:hAnsi="Times New Roman" w:cs="Times New Roman"/>
          <w:color w:val="auto"/>
        </w:rPr>
      </w:pPr>
      <w:r>
        <w:rPr>
          <w:rFonts w:hAnsi="Times New Roman" w:cs="Times New Roman"/>
          <w:color w:val="auto"/>
        </w:rPr>
        <w:t>In 2013, the</w:t>
      </w:r>
      <w:r w:rsidR="00303CC1">
        <w:rPr>
          <w:rFonts w:hAnsi="Times New Roman" w:cs="Times New Roman"/>
          <w:sz w:val="20"/>
          <w:szCs w:val="20"/>
        </w:rPr>
        <w:t xml:space="preserve"> </w:t>
      </w:r>
      <w:r>
        <w:rPr>
          <w:rFonts w:hAnsi="Times New Roman" w:cs="Times New Roman"/>
          <w:color w:val="auto"/>
        </w:rPr>
        <w:t>9</w:t>
      </w:r>
      <w:r w:rsidRPr="00B87FD0">
        <w:rPr>
          <w:rFonts w:hAnsi="Times New Roman" w:cs="Times New Roman"/>
          <w:color w:val="auto"/>
          <w:vertAlign w:val="superscript"/>
        </w:rPr>
        <w:t>th</w:t>
      </w:r>
      <w:r>
        <w:rPr>
          <w:rFonts w:hAnsi="Times New Roman" w:cs="Times New Roman"/>
          <w:color w:val="auto"/>
        </w:rPr>
        <w:t xml:space="preserve"> circuit certified a</w:t>
      </w:r>
      <w:r w:rsidR="002318AA" w:rsidRPr="00DD1543">
        <w:rPr>
          <w:rFonts w:hAnsi="Times New Roman" w:cs="Times New Roman"/>
          <w:color w:val="auto"/>
        </w:rPr>
        <w:t xml:space="preserve"> private class </w:t>
      </w:r>
      <w:r>
        <w:rPr>
          <w:rFonts w:hAnsi="Times New Roman" w:cs="Times New Roman"/>
          <w:color w:val="auto"/>
        </w:rPr>
        <w:t>of</w:t>
      </w:r>
      <w:r w:rsidR="002318AA" w:rsidRPr="00DD1543">
        <w:rPr>
          <w:rFonts w:hAnsi="Times New Roman" w:cs="Times New Roman"/>
          <w:color w:val="auto"/>
        </w:rPr>
        <w:t xml:space="preserve"> 64,000 former employees of these high-tech giants</w:t>
      </w:r>
      <w:r>
        <w:rPr>
          <w:rFonts w:hAnsi="Times New Roman" w:cs="Times New Roman"/>
          <w:color w:val="auto"/>
        </w:rPr>
        <w:t xml:space="preserve"> who filed a class action,</w:t>
      </w:r>
      <w:r w:rsidR="002318AA" w:rsidRPr="00DD1543">
        <w:rPr>
          <w:rFonts w:hAnsi="Times New Roman" w:cs="Times New Roman"/>
          <w:color w:val="auto"/>
        </w:rPr>
        <w:t xml:space="preserve"> </w:t>
      </w:r>
      <w:r>
        <w:rPr>
          <w:rFonts w:hAnsi="Times New Roman" w:cs="Times New Roman"/>
          <w:color w:val="auto"/>
        </w:rPr>
        <w:t>arguing</w:t>
      </w:r>
      <w:r w:rsidR="002318AA" w:rsidRPr="00DD1543">
        <w:rPr>
          <w:rFonts w:hAnsi="Times New Roman" w:cs="Times New Roman"/>
          <w:color w:val="auto"/>
        </w:rPr>
        <w:t xml:space="preserve"> that these anti-competitive practices depressed their wages in the industry. </w:t>
      </w:r>
      <w:r w:rsidR="00BA1C09" w:rsidRPr="00DD1543">
        <w:rPr>
          <w:rFonts w:hAnsi="Times New Roman" w:cs="Times New Roman"/>
          <w:color w:val="auto"/>
        </w:rPr>
        <w:t>The high-tech talent cartel ran deeper and broader than this first unique class action reveals. There is evidence to suggest that other companies, including Comcast, Genentech, Pay</w:t>
      </w:r>
      <w:r w:rsidR="00BA1C09">
        <w:rPr>
          <w:rFonts w:hAnsi="Times New Roman" w:cs="Times New Roman"/>
          <w:color w:val="auto"/>
        </w:rPr>
        <w:t>P</w:t>
      </w:r>
      <w:r w:rsidR="00BA1C09" w:rsidRPr="00DD1543">
        <w:rPr>
          <w:rFonts w:hAnsi="Times New Roman" w:cs="Times New Roman"/>
          <w:color w:val="auto"/>
        </w:rPr>
        <w:t>al, Nvidia, Dell, Microsoft, DoubleClick Earth</w:t>
      </w:r>
      <w:r w:rsidR="00BA1C09">
        <w:rPr>
          <w:rFonts w:hAnsi="Times New Roman" w:cs="Times New Roman"/>
          <w:color w:val="auto"/>
        </w:rPr>
        <w:t>L</w:t>
      </w:r>
      <w:r w:rsidR="00BA1C09" w:rsidRPr="00DD1543">
        <w:rPr>
          <w:rFonts w:hAnsi="Times New Roman" w:cs="Times New Roman"/>
          <w:color w:val="auto"/>
        </w:rPr>
        <w:t>ink, AOL, Ask</w:t>
      </w:r>
      <w:r w:rsidR="00BA1C09">
        <w:rPr>
          <w:rFonts w:hAnsi="Times New Roman" w:cs="Times New Roman"/>
          <w:color w:val="auto"/>
        </w:rPr>
        <w:t xml:space="preserve"> </w:t>
      </w:r>
      <w:r w:rsidR="00BA1C09" w:rsidRPr="00DD1543">
        <w:rPr>
          <w:rFonts w:hAnsi="Times New Roman" w:cs="Times New Roman"/>
          <w:color w:val="auto"/>
        </w:rPr>
        <w:t>Jeeves, Clear Channel, Oracle, Lycos, Palm, Best Buy, Nike, Foxconn, and Bell Canada may have been involved in these human capital collusions.</w:t>
      </w:r>
      <w:r w:rsidR="00BA1C09" w:rsidRPr="00DD1543">
        <w:rPr>
          <w:rFonts w:hAnsi="Times New Roman" w:cs="Times New Roman"/>
          <w:color w:val="auto"/>
          <w:vertAlign w:val="superscript"/>
        </w:rPr>
        <w:footnoteReference w:id="145"/>
      </w:r>
      <w:r w:rsidR="00BA1C09" w:rsidRPr="00DD1543">
        <w:rPr>
          <w:rFonts w:hAnsi="Times New Roman" w:cs="Times New Roman"/>
          <w:color w:val="auto"/>
        </w:rPr>
        <w:t xml:space="preserve"> </w:t>
      </w:r>
    </w:p>
    <w:p w14:paraId="020551CE" w14:textId="77777777" w:rsidR="007F1F19" w:rsidRPr="00DD1543" w:rsidRDefault="007F1F19">
      <w:pPr>
        <w:ind w:firstLine="720"/>
        <w:rPr>
          <w:rFonts w:hAnsi="Times New Roman" w:cs="Times New Roman"/>
          <w:color w:val="auto"/>
        </w:rPr>
      </w:pPr>
    </w:p>
    <w:p w14:paraId="21200E99" w14:textId="77777777" w:rsidR="007F1F19" w:rsidRPr="00DD1543" w:rsidRDefault="002318AA" w:rsidP="00F104F3">
      <w:pPr>
        <w:rPr>
          <w:rFonts w:hAnsi="Times New Roman" w:cs="Times New Roman"/>
          <w:color w:val="auto"/>
        </w:rPr>
      </w:pPr>
      <w:r w:rsidRPr="00DD1543">
        <w:rPr>
          <w:rFonts w:hAnsi="Times New Roman" w:cs="Times New Roman"/>
          <w:color w:val="auto"/>
        </w:rPr>
        <w:t xml:space="preserve">Steve Jobs was the architect </w:t>
      </w:r>
      <w:r w:rsidR="00F61730">
        <w:rPr>
          <w:rFonts w:hAnsi="Times New Roman" w:cs="Times New Roman"/>
          <w:color w:val="auto"/>
        </w:rPr>
        <w:t xml:space="preserve">and driving force </w:t>
      </w:r>
      <w:r w:rsidRPr="00DD1543">
        <w:rPr>
          <w:rFonts w:hAnsi="Times New Roman" w:cs="Times New Roman"/>
          <w:color w:val="auto"/>
        </w:rPr>
        <w:t xml:space="preserve">of these </w:t>
      </w:r>
      <w:r w:rsidR="00B87FD0">
        <w:rPr>
          <w:rFonts w:hAnsi="Times New Roman" w:cs="Times New Roman"/>
          <w:color w:val="auto"/>
        </w:rPr>
        <w:t>cognitive cartels</w:t>
      </w:r>
      <w:r w:rsidRPr="00DD1543">
        <w:rPr>
          <w:rFonts w:hAnsi="Times New Roman" w:cs="Times New Roman"/>
          <w:color w:val="auto"/>
        </w:rPr>
        <w:t>. Jobs emailed Google warning, “If you hire a single one of these people that means war.”</w:t>
      </w:r>
      <w:r w:rsidR="00BA1C09">
        <w:rPr>
          <w:rStyle w:val="FootnoteReference"/>
          <w:rFonts w:hAnsi="Times New Roman" w:cs="Times New Roman"/>
          <w:color w:val="auto"/>
        </w:rPr>
        <w:footnoteReference w:id="146"/>
      </w:r>
      <w:r w:rsidRPr="00DD1543">
        <w:rPr>
          <w:rFonts w:hAnsi="Times New Roman" w:cs="Times New Roman"/>
          <w:color w:val="auto"/>
        </w:rPr>
        <w:t xml:space="preserve"> The secret agreement that followed was so strong that when a Google recruiter did contact Apple engineers, Jobs immediately reminded Google of his warning. Google fired the recruiter immediately. According to the</w:t>
      </w:r>
      <w:r w:rsidR="00E45C0B">
        <w:rPr>
          <w:rFonts w:hAnsi="Times New Roman" w:cs="Times New Roman"/>
          <w:color w:val="auto"/>
        </w:rPr>
        <w:t xml:space="preserve"> allegations</w:t>
      </w:r>
      <w:r w:rsidRPr="00DD1543">
        <w:rPr>
          <w:rFonts w:hAnsi="Times New Roman" w:cs="Times New Roman"/>
          <w:color w:val="auto"/>
        </w:rPr>
        <w:t xml:space="preserve">, </w:t>
      </w:r>
      <w:r w:rsidR="002C36B8">
        <w:rPr>
          <w:rFonts w:hAnsi="Times New Roman" w:cs="Times New Roman"/>
          <w:color w:val="auto"/>
        </w:rPr>
        <w:t xml:space="preserve">Google even asked </w:t>
      </w:r>
      <w:r w:rsidR="00BE355A">
        <w:rPr>
          <w:rFonts w:hAnsi="Times New Roman" w:cs="Times New Roman"/>
          <w:color w:val="auto"/>
        </w:rPr>
        <w:t xml:space="preserve">for </w:t>
      </w:r>
      <w:r w:rsidRPr="00DD1543">
        <w:rPr>
          <w:rFonts w:hAnsi="Times New Roman" w:cs="Times New Roman"/>
          <w:color w:val="auto"/>
        </w:rPr>
        <w:t>Jobs</w:t>
      </w:r>
      <w:r w:rsidR="00BE355A">
        <w:rPr>
          <w:rFonts w:hAnsi="Times New Roman" w:cs="Times New Roman"/>
          <w:color w:val="auto"/>
        </w:rPr>
        <w:t>’</w:t>
      </w:r>
      <w:r w:rsidR="002C36B8">
        <w:rPr>
          <w:rFonts w:hAnsi="Times New Roman" w:cs="Times New Roman"/>
          <w:color w:val="auto"/>
        </w:rPr>
        <w:t xml:space="preserve"> permission</w:t>
      </w:r>
      <w:r w:rsidRPr="00DD1543">
        <w:rPr>
          <w:rFonts w:hAnsi="Times New Roman" w:cs="Times New Roman"/>
          <w:color w:val="auto"/>
        </w:rPr>
        <w:t xml:space="preserve"> to hire former Apple employees. </w:t>
      </w:r>
      <w:r w:rsidR="009544B5">
        <w:rPr>
          <w:rFonts w:hAnsi="Times New Roman" w:cs="Times New Roman"/>
          <w:color w:val="auto"/>
        </w:rPr>
        <w:t>In addition, t</w:t>
      </w:r>
      <w:r w:rsidRPr="00DD1543">
        <w:rPr>
          <w:rFonts w:hAnsi="Times New Roman" w:cs="Times New Roman"/>
          <w:color w:val="auto"/>
        </w:rPr>
        <w:t>he do-not-</w:t>
      </w:r>
      <w:r w:rsidR="00BA1C09">
        <w:rPr>
          <w:rFonts w:hAnsi="Times New Roman" w:cs="Times New Roman"/>
          <w:color w:val="auto"/>
        </w:rPr>
        <w:t>hire</w:t>
      </w:r>
      <w:r w:rsidRPr="00DD1543">
        <w:rPr>
          <w:rFonts w:hAnsi="Times New Roman" w:cs="Times New Roman"/>
          <w:color w:val="auto"/>
        </w:rPr>
        <w:t xml:space="preserve"> agreements spun globally, for example, one email reveals Google’s Pacific Leadership Recruiter asking Google’s Director of Recruiting to confirm whether they can cold call companies in Korea “excluding the ‘do not cold call’ companies, of course</w:t>
      </w:r>
      <w:r w:rsidR="009544B5">
        <w:rPr>
          <w:rFonts w:hAnsi="Times New Roman" w:cs="Times New Roman"/>
          <w:color w:val="auto"/>
        </w:rPr>
        <w:t>.</w:t>
      </w:r>
      <w:r w:rsidRPr="00DD1543">
        <w:rPr>
          <w:rFonts w:hAnsi="Times New Roman" w:cs="Times New Roman"/>
          <w:color w:val="auto"/>
        </w:rPr>
        <w:t>”</w:t>
      </w:r>
      <w:r w:rsidRPr="00DD1543">
        <w:rPr>
          <w:rFonts w:hAnsi="Times New Roman" w:cs="Times New Roman"/>
          <w:color w:val="auto"/>
          <w:vertAlign w:val="superscript"/>
        </w:rPr>
        <w:footnoteReference w:id="147"/>
      </w:r>
      <w:r w:rsidR="007B15FD">
        <w:rPr>
          <w:rFonts w:hAnsi="Times New Roman" w:cs="Times New Roman"/>
          <w:color w:val="auto"/>
        </w:rPr>
        <w:t xml:space="preserve"> </w:t>
      </w:r>
      <w:r w:rsidR="005E1E85" w:rsidRPr="00106072">
        <w:rPr>
          <w:rFonts w:hAnsi="Times New Roman" w:cs="Times New Roman"/>
          <w:color w:val="auto"/>
        </w:rPr>
        <w:t>Th</w:t>
      </w:r>
      <w:r w:rsidR="002E476C">
        <w:rPr>
          <w:rFonts w:hAnsi="Times New Roman" w:cs="Times New Roman"/>
          <w:color w:val="auto"/>
        </w:rPr>
        <w:t xml:space="preserve">e collusive agreements </w:t>
      </w:r>
      <w:r w:rsidRPr="00106072">
        <w:rPr>
          <w:rFonts w:hAnsi="Times New Roman" w:cs="Times New Roman"/>
          <w:color w:val="auto"/>
        </w:rPr>
        <w:t>includ</w:t>
      </w:r>
      <w:r w:rsidR="005E1E85" w:rsidRPr="00106072">
        <w:rPr>
          <w:rFonts w:hAnsi="Times New Roman" w:cs="Times New Roman"/>
          <w:color w:val="auto"/>
        </w:rPr>
        <w:t>ed not only</w:t>
      </w:r>
      <w:r w:rsidR="007B15FD">
        <w:rPr>
          <w:rFonts w:hAnsi="Times New Roman" w:cs="Times New Roman"/>
          <w:color w:val="auto"/>
        </w:rPr>
        <w:t xml:space="preserve"> </w:t>
      </w:r>
      <w:r w:rsidR="005E1E85" w:rsidRPr="00106072">
        <w:rPr>
          <w:rFonts w:hAnsi="Times New Roman" w:cs="Times New Roman"/>
          <w:color w:val="auto"/>
        </w:rPr>
        <w:t xml:space="preserve">the engineers, but also </w:t>
      </w:r>
      <w:r w:rsidR="009D0A6B" w:rsidRPr="00106072">
        <w:rPr>
          <w:rFonts w:hAnsi="Times New Roman" w:cs="Times New Roman"/>
          <w:color w:val="auto"/>
        </w:rPr>
        <w:t>the</w:t>
      </w:r>
      <w:r w:rsidRPr="00106072">
        <w:rPr>
          <w:rFonts w:hAnsi="Times New Roman" w:cs="Times New Roman"/>
          <w:color w:val="auto"/>
        </w:rPr>
        <w:t xml:space="preserve"> chefs who worked in the company cafeteria</w:t>
      </w:r>
      <w:r w:rsidR="005E1E85" w:rsidRPr="00106072">
        <w:rPr>
          <w:rFonts w:hAnsi="Times New Roman" w:cs="Times New Roman"/>
          <w:color w:val="auto"/>
        </w:rPr>
        <w:t>.</w:t>
      </w:r>
      <w:r w:rsidRPr="00106072">
        <w:rPr>
          <w:rFonts w:hAnsi="Times New Roman" w:cs="Times New Roman"/>
          <w:color w:val="auto"/>
          <w:vertAlign w:val="superscript"/>
        </w:rPr>
        <w:footnoteReference w:id="148"/>
      </w:r>
      <w:r w:rsidRPr="00DD1543">
        <w:rPr>
          <w:rFonts w:hAnsi="Times New Roman" w:cs="Times New Roman"/>
          <w:color w:val="auto"/>
        </w:rPr>
        <w:t xml:space="preserve"> </w:t>
      </w:r>
      <w:r w:rsidR="00BA1C09">
        <w:rPr>
          <w:rFonts w:hAnsi="Times New Roman" w:cs="Times New Roman"/>
          <w:color w:val="auto"/>
        </w:rPr>
        <w:t>Recruiters received lists of companies off limits, “n</w:t>
      </w:r>
      <w:r w:rsidR="00BA1C09" w:rsidRPr="00DD1543">
        <w:rPr>
          <w:rFonts w:hAnsi="Times New Roman" w:cs="Times New Roman"/>
          <w:color w:val="auto"/>
        </w:rPr>
        <w:t>o one calls, networks or emails into the company or its subsidiaries looking for people</w:t>
      </w:r>
      <w:r w:rsidR="00BA1C09">
        <w:rPr>
          <w:rFonts w:hAnsi="Times New Roman" w:cs="Times New Roman"/>
          <w:color w:val="auto"/>
        </w:rPr>
        <w:t>.</w:t>
      </w:r>
      <w:r w:rsidR="00BA1C09" w:rsidRPr="00DD1543">
        <w:rPr>
          <w:rFonts w:hAnsi="Times New Roman" w:cs="Times New Roman"/>
          <w:color w:val="auto"/>
        </w:rPr>
        <w:t>”</w:t>
      </w:r>
      <w:r w:rsidR="00BA1C09" w:rsidRPr="00DD1543">
        <w:rPr>
          <w:rFonts w:hAnsi="Times New Roman" w:cs="Times New Roman"/>
          <w:color w:val="auto"/>
          <w:vertAlign w:val="superscript"/>
        </w:rPr>
        <w:footnoteReference w:id="149"/>
      </w:r>
      <w:r w:rsidR="00BA1C09">
        <w:rPr>
          <w:rFonts w:hAnsi="Times New Roman" w:cs="Times New Roman"/>
          <w:color w:val="auto"/>
        </w:rPr>
        <w:t xml:space="preserve"> </w:t>
      </w:r>
      <w:r w:rsidRPr="00DD1543">
        <w:rPr>
          <w:rFonts w:hAnsi="Times New Roman" w:cs="Times New Roman"/>
          <w:color w:val="auto"/>
        </w:rPr>
        <w:t xml:space="preserve">The record indicates that top executives at these Silicon Valley giants understood the possible illegality of these agreements. Eric E. Schmidt, Google’s CEO at the time, asked his people to not keep a paper trail about the agreements. </w:t>
      </w:r>
    </w:p>
    <w:p w14:paraId="65DCD75A" w14:textId="77777777" w:rsidR="00D4339C" w:rsidRPr="00DD1543" w:rsidRDefault="00D4339C" w:rsidP="00C24430">
      <w:pPr>
        <w:ind w:firstLine="0"/>
        <w:rPr>
          <w:rFonts w:hAnsi="Times New Roman" w:cs="Times New Roman"/>
          <w:color w:val="auto"/>
        </w:rPr>
      </w:pPr>
    </w:p>
    <w:p w14:paraId="643E8B62" w14:textId="5ADC0C5E" w:rsidR="007F1F19" w:rsidRPr="00DD1543" w:rsidRDefault="009F05A4" w:rsidP="00C558BC">
      <w:pPr>
        <w:rPr>
          <w:rFonts w:hAnsi="Times New Roman" w:cs="Times New Roman"/>
          <w:color w:val="auto"/>
        </w:rPr>
      </w:pPr>
      <w:r>
        <w:rPr>
          <w:rFonts w:hAnsi="Times New Roman" w:cs="Times New Roman"/>
          <w:color w:val="auto"/>
        </w:rPr>
        <w:t>The</w:t>
      </w:r>
      <w:r w:rsidR="00747B55">
        <w:rPr>
          <w:rFonts w:hAnsi="Times New Roman" w:cs="Times New Roman"/>
          <w:color w:val="auto"/>
        </w:rPr>
        <w:t>se</w:t>
      </w:r>
      <w:r>
        <w:rPr>
          <w:rFonts w:hAnsi="Times New Roman" w:cs="Times New Roman"/>
          <w:color w:val="auto"/>
        </w:rPr>
        <w:t xml:space="preserve"> </w:t>
      </w:r>
      <w:r w:rsidR="00747B55">
        <w:rPr>
          <w:rFonts w:hAnsi="Times New Roman" w:cs="Times New Roman"/>
          <w:color w:val="auto"/>
        </w:rPr>
        <w:t>no-poaching</w:t>
      </w:r>
      <w:r>
        <w:rPr>
          <w:rFonts w:hAnsi="Times New Roman" w:cs="Times New Roman"/>
          <w:color w:val="auto"/>
        </w:rPr>
        <w:t xml:space="preserve"> </w:t>
      </w:r>
      <w:r w:rsidR="00C3557D">
        <w:rPr>
          <w:rFonts w:hAnsi="Times New Roman" w:cs="Times New Roman"/>
          <w:color w:val="auto"/>
        </w:rPr>
        <w:t>practices likely</w:t>
      </w:r>
      <w:r>
        <w:rPr>
          <w:rFonts w:hAnsi="Times New Roman" w:cs="Times New Roman"/>
          <w:color w:val="auto"/>
        </w:rPr>
        <w:t xml:space="preserve"> le</w:t>
      </w:r>
      <w:r w:rsidR="00CB2D2E">
        <w:rPr>
          <w:rFonts w:hAnsi="Times New Roman" w:cs="Times New Roman"/>
          <w:color w:val="auto"/>
        </w:rPr>
        <w:t xml:space="preserve">d to </w:t>
      </w:r>
      <w:r w:rsidR="00C3557D">
        <w:rPr>
          <w:rFonts w:hAnsi="Times New Roman" w:cs="Times New Roman"/>
          <w:color w:val="auto"/>
        </w:rPr>
        <w:t xml:space="preserve">significant </w:t>
      </w:r>
      <w:r w:rsidR="00CB2D2E">
        <w:rPr>
          <w:rFonts w:hAnsi="Times New Roman" w:cs="Times New Roman"/>
          <w:color w:val="auto"/>
        </w:rPr>
        <w:t>hiring and innovation problems for</w:t>
      </w:r>
      <w:r w:rsidR="00747B55">
        <w:rPr>
          <w:rFonts w:hAnsi="Times New Roman" w:cs="Times New Roman"/>
          <w:color w:val="auto"/>
        </w:rPr>
        <w:t xml:space="preserve"> the</w:t>
      </w:r>
      <w:r w:rsidR="00CB2D2E">
        <w:rPr>
          <w:rFonts w:hAnsi="Times New Roman" w:cs="Times New Roman"/>
          <w:color w:val="auto"/>
        </w:rPr>
        <w:t xml:space="preserve"> companies</w:t>
      </w:r>
      <w:r w:rsidR="00747B55">
        <w:rPr>
          <w:rFonts w:hAnsi="Times New Roman" w:cs="Times New Roman"/>
          <w:color w:val="auto"/>
        </w:rPr>
        <w:t xml:space="preserve"> themselves</w:t>
      </w:r>
      <w:r w:rsidR="00CB2D2E">
        <w:rPr>
          <w:rFonts w:hAnsi="Times New Roman" w:cs="Times New Roman"/>
          <w:color w:val="auto"/>
        </w:rPr>
        <w:t xml:space="preserve">, as evidenced by </w:t>
      </w:r>
      <w:r w:rsidR="002318AA" w:rsidRPr="00DD1543">
        <w:rPr>
          <w:rFonts w:hAnsi="Times New Roman" w:cs="Times New Roman"/>
          <w:color w:val="auto"/>
        </w:rPr>
        <w:t>Google</w:t>
      </w:r>
      <w:r w:rsidR="00D50619">
        <w:rPr>
          <w:rFonts w:hAnsi="Times New Roman" w:cs="Times New Roman"/>
          <w:color w:val="auto"/>
        </w:rPr>
        <w:t>’s</w:t>
      </w:r>
      <w:r w:rsidR="002318AA" w:rsidRPr="00DD1543">
        <w:rPr>
          <w:rFonts w:hAnsi="Times New Roman" w:cs="Times New Roman"/>
          <w:color w:val="auto"/>
        </w:rPr>
        <w:t xml:space="preserve"> internal memos </w:t>
      </w:r>
      <w:r w:rsidR="00CB2D2E">
        <w:rPr>
          <w:rFonts w:hAnsi="Times New Roman" w:cs="Times New Roman"/>
          <w:color w:val="auto"/>
        </w:rPr>
        <w:t xml:space="preserve">that </w:t>
      </w:r>
      <w:r w:rsidR="002318AA" w:rsidRPr="00DD1543">
        <w:rPr>
          <w:rFonts w:hAnsi="Times New Roman" w:cs="Times New Roman"/>
          <w:color w:val="auto"/>
        </w:rPr>
        <w:t xml:space="preserve">reveal </w:t>
      </w:r>
      <w:r w:rsidR="00747B55">
        <w:rPr>
          <w:rFonts w:hAnsi="Times New Roman" w:cs="Times New Roman"/>
          <w:color w:val="auto"/>
        </w:rPr>
        <w:t xml:space="preserve">the difficulties </w:t>
      </w:r>
      <w:r w:rsidR="0036447B">
        <w:rPr>
          <w:rFonts w:hAnsi="Times New Roman" w:cs="Times New Roman"/>
          <w:color w:val="auto"/>
        </w:rPr>
        <w:t xml:space="preserve">teams had </w:t>
      </w:r>
      <w:r w:rsidR="00747B55">
        <w:rPr>
          <w:rFonts w:hAnsi="Times New Roman" w:cs="Times New Roman"/>
          <w:color w:val="auto"/>
        </w:rPr>
        <w:t xml:space="preserve">in </w:t>
      </w:r>
      <w:r w:rsidR="002318AA" w:rsidRPr="00DD1543">
        <w:rPr>
          <w:rFonts w:hAnsi="Times New Roman" w:cs="Times New Roman"/>
          <w:color w:val="auto"/>
        </w:rPr>
        <w:t xml:space="preserve">filling spots and </w:t>
      </w:r>
      <w:r w:rsidR="00747B55">
        <w:rPr>
          <w:rFonts w:hAnsi="Times New Roman" w:cs="Times New Roman"/>
          <w:color w:val="auto"/>
        </w:rPr>
        <w:t>maintaining</w:t>
      </w:r>
      <w:r w:rsidR="002318AA" w:rsidRPr="00DD1543">
        <w:rPr>
          <w:rFonts w:hAnsi="Times New Roman" w:cs="Times New Roman"/>
          <w:color w:val="auto"/>
        </w:rPr>
        <w:t xml:space="preserve"> </w:t>
      </w:r>
      <w:r w:rsidR="0036447B">
        <w:rPr>
          <w:rFonts w:hAnsi="Times New Roman" w:cs="Times New Roman"/>
          <w:color w:val="auto"/>
        </w:rPr>
        <w:t>their innovative</w:t>
      </w:r>
      <w:r w:rsidR="000C10AB">
        <w:rPr>
          <w:rFonts w:hAnsi="Times New Roman" w:cs="Times New Roman"/>
          <w:color w:val="auto"/>
        </w:rPr>
        <w:t xml:space="preserve"> </w:t>
      </w:r>
      <w:r w:rsidR="00C3557D">
        <w:rPr>
          <w:rFonts w:hAnsi="Times New Roman" w:cs="Times New Roman"/>
          <w:color w:val="auto"/>
        </w:rPr>
        <w:t>edge</w:t>
      </w:r>
      <w:r w:rsidR="002318AA" w:rsidRPr="00DD1543">
        <w:rPr>
          <w:rFonts w:hAnsi="Times New Roman" w:cs="Times New Roman"/>
          <w:color w:val="auto"/>
        </w:rPr>
        <w:t>.</w:t>
      </w:r>
      <w:r w:rsidR="00747B55">
        <w:rPr>
          <w:rStyle w:val="FootnoteReference"/>
          <w:rFonts w:hAnsi="Times New Roman" w:cs="Times New Roman"/>
          <w:color w:val="auto"/>
        </w:rPr>
        <w:footnoteReference w:id="150"/>
      </w:r>
      <w:r w:rsidR="00747B55">
        <w:rPr>
          <w:rFonts w:hAnsi="Times New Roman" w:cs="Times New Roman"/>
          <w:color w:val="auto"/>
        </w:rPr>
        <w:t xml:space="preserve"> Consequently, in addition to the employee class action,</w:t>
      </w:r>
      <w:r w:rsidR="002318AA" w:rsidRPr="00DD1543">
        <w:rPr>
          <w:rFonts w:hAnsi="Times New Roman" w:cs="Times New Roman"/>
          <w:color w:val="auto"/>
        </w:rPr>
        <w:t xml:space="preserve"> </w:t>
      </w:r>
      <w:r w:rsidR="007C316B">
        <w:rPr>
          <w:rFonts w:hAnsi="Times New Roman" w:cs="Times New Roman"/>
          <w:color w:val="auto"/>
        </w:rPr>
        <w:t xml:space="preserve">another </w:t>
      </w:r>
      <w:r w:rsidR="002318AA" w:rsidRPr="00DD1543">
        <w:rPr>
          <w:rFonts w:hAnsi="Times New Roman" w:cs="Times New Roman"/>
          <w:color w:val="auto"/>
        </w:rPr>
        <w:t>class action was</w:t>
      </w:r>
      <w:r w:rsidR="007C316B">
        <w:rPr>
          <w:rFonts w:hAnsi="Times New Roman" w:cs="Times New Roman"/>
          <w:color w:val="auto"/>
        </w:rPr>
        <w:t xml:space="preserve"> recently</w:t>
      </w:r>
      <w:r w:rsidR="002318AA" w:rsidRPr="00DD1543">
        <w:rPr>
          <w:rFonts w:hAnsi="Times New Roman" w:cs="Times New Roman"/>
          <w:color w:val="auto"/>
        </w:rPr>
        <w:t xml:space="preserve"> filed against Google by its shareholders.</w:t>
      </w:r>
      <w:r w:rsidR="002E476C">
        <w:rPr>
          <w:rStyle w:val="FootnoteReference"/>
          <w:rFonts w:hAnsi="Times New Roman" w:cs="Times New Roman"/>
          <w:color w:val="auto"/>
        </w:rPr>
        <w:footnoteReference w:id="151"/>
      </w:r>
      <w:r w:rsidR="002318AA" w:rsidRPr="00DD1543">
        <w:rPr>
          <w:rFonts w:hAnsi="Times New Roman" w:cs="Times New Roman"/>
          <w:color w:val="auto"/>
        </w:rPr>
        <w:t xml:space="preserve"> The shareholder derivative action seeks to recover damages caused by </w:t>
      </w:r>
      <w:r w:rsidR="0088275D">
        <w:rPr>
          <w:rFonts w:hAnsi="Times New Roman" w:cs="Times New Roman"/>
          <w:color w:val="auto"/>
        </w:rPr>
        <w:t>Google’s</w:t>
      </w:r>
      <w:r w:rsidR="000C10AB">
        <w:rPr>
          <w:rFonts w:hAnsi="Times New Roman" w:cs="Times New Roman"/>
          <w:color w:val="auto"/>
        </w:rPr>
        <w:t xml:space="preserve"> </w:t>
      </w:r>
      <w:r w:rsidR="002318AA" w:rsidRPr="00DD1543">
        <w:rPr>
          <w:rFonts w:hAnsi="Times New Roman" w:cs="Times New Roman"/>
          <w:color w:val="auto"/>
        </w:rPr>
        <w:t>high-level executives for the illegal non-solicitation agreements</w:t>
      </w:r>
      <w:r w:rsidR="0088275D">
        <w:rPr>
          <w:rFonts w:hAnsi="Times New Roman" w:cs="Times New Roman"/>
          <w:color w:val="auto"/>
        </w:rPr>
        <w:t xml:space="preserve"> that</w:t>
      </w:r>
      <w:r w:rsidR="002318AA" w:rsidRPr="00DD1543">
        <w:rPr>
          <w:rFonts w:hAnsi="Times New Roman" w:cs="Times New Roman"/>
          <w:color w:val="auto"/>
        </w:rPr>
        <w:t xml:space="preserve"> “not only hurt employees of these companies, but also the companies themselves because Silicon Valley’s innovation is based in large part on the frequent turnover of employers, which cause information diffusion and spurs innovation.”</w:t>
      </w:r>
      <w:r w:rsidR="002E476C">
        <w:rPr>
          <w:rStyle w:val="FootnoteReference"/>
          <w:rFonts w:hAnsi="Times New Roman" w:cs="Times New Roman"/>
          <w:color w:val="auto"/>
        </w:rPr>
        <w:footnoteReference w:id="152"/>
      </w:r>
      <w:r w:rsidR="002318AA" w:rsidRPr="00DD1543">
        <w:rPr>
          <w:rFonts w:hAnsi="Times New Roman" w:cs="Times New Roman"/>
          <w:color w:val="auto"/>
        </w:rPr>
        <w:t xml:space="preserve"> Specifically, the shareholder suit claims that Google’s executives violated the company’s own code of conduct which states that Google “</w:t>
      </w:r>
      <w:r w:rsidR="000C10AB">
        <w:rPr>
          <w:rFonts w:hAnsi="Times New Roman" w:cs="Times New Roman"/>
          <w:color w:val="auto"/>
        </w:rPr>
        <w:t>s</w:t>
      </w:r>
      <w:r w:rsidR="002318AA" w:rsidRPr="00DD1543">
        <w:rPr>
          <w:rFonts w:hAnsi="Times New Roman" w:cs="Times New Roman"/>
          <w:color w:val="auto"/>
        </w:rPr>
        <w:t>trives to hire the best employees, with backgrounds and perspectives as diverse as our global users…competition for qualified personnel in our industry is intense, particularly for software engineers, computer sc</w:t>
      </w:r>
      <w:r w:rsidR="002E476C">
        <w:rPr>
          <w:rFonts w:hAnsi="Times New Roman" w:cs="Times New Roman"/>
          <w:color w:val="auto"/>
        </w:rPr>
        <w:t>ientists, and technical staff.”</w:t>
      </w:r>
      <w:r w:rsidR="002E476C">
        <w:rPr>
          <w:rStyle w:val="FootnoteReference"/>
          <w:rFonts w:hAnsi="Times New Roman" w:cs="Times New Roman"/>
          <w:color w:val="auto"/>
        </w:rPr>
        <w:footnoteReference w:id="153"/>
      </w:r>
    </w:p>
    <w:p w14:paraId="34C33F1F" w14:textId="77777777" w:rsidR="00245925" w:rsidRDefault="00245925" w:rsidP="00245925">
      <w:pPr>
        <w:ind w:firstLine="720"/>
        <w:rPr>
          <w:rFonts w:eastAsia="Times New Roman" w:hAnsi="Times New Roman" w:cs="Times New Roman"/>
          <w:bCs/>
          <w:color w:val="auto"/>
          <w:bdr w:val="none" w:sz="0" w:space="0" w:color="auto"/>
          <w:lang w:bidi="he-IL"/>
        </w:rPr>
      </w:pPr>
    </w:p>
    <w:p w14:paraId="56984493" w14:textId="77777777" w:rsidR="00245925" w:rsidRPr="00245925" w:rsidRDefault="00245925" w:rsidP="00245925">
      <w:pPr>
        <w:ind w:firstLine="720"/>
        <w:rPr>
          <w:rFonts w:eastAsia="Times New Roman" w:hAnsi="Times New Roman" w:cs="Times New Roman"/>
          <w:color w:val="auto"/>
          <w:bdr w:val="none" w:sz="0" w:space="0" w:color="auto"/>
          <w:lang w:bidi="he-IL"/>
        </w:rPr>
      </w:pPr>
      <w:r w:rsidRPr="00245925">
        <w:rPr>
          <w:rFonts w:eastAsia="Times New Roman" w:hAnsi="Times New Roman" w:cs="Times New Roman"/>
          <w:bCs/>
          <w:color w:val="auto"/>
          <w:bdr w:val="none" w:sz="0" w:space="0" w:color="auto"/>
          <w:lang w:bidi="he-IL"/>
        </w:rPr>
        <w:t>In early August 2014 the tech workers and the defendants in this class action suit agreed to a $324.5 million settlement, but the District Court judge, Lucy Koh, denied preliminary approval to this settlement agreement.</w:t>
      </w:r>
      <w:r w:rsidRPr="00245925">
        <w:rPr>
          <w:rStyle w:val="FootnoteReference"/>
          <w:rFonts w:eastAsia="Times New Roman" w:hAnsi="Times New Roman" w:cs="Times New Roman"/>
          <w:bCs/>
          <w:color w:val="auto"/>
          <w:bdr w:val="none" w:sz="0" w:space="0" w:color="auto"/>
          <w:lang w:bidi="he-IL"/>
        </w:rPr>
        <w:t xml:space="preserve"> </w:t>
      </w:r>
      <w:r w:rsidRPr="00245925">
        <w:rPr>
          <w:rStyle w:val="FootnoteReference"/>
          <w:rFonts w:eastAsia="Times New Roman" w:hAnsi="Times New Roman" w:cs="Times New Roman"/>
          <w:bCs/>
          <w:color w:val="auto"/>
          <w:bdr w:val="none" w:sz="0" w:space="0" w:color="auto"/>
          <w:lang w:bidi="he-IL"/>
        </w:rPr>
        <w:footnoteReference w:id="154"/>
      </w:r>
      <w:r w:rsidRPr="00245925">
        <w:rPr>
          <w:rFonts w:eastAsia="Times New Roman" w:hAnsi="Times New Roman" w:cs="Times New Roman"/>
          <w:bCs/>
          <w:color w:val="auto"/>
          <w:bdr w:val="none" w:sz="0" w:space="0" w:color="auto"/>
          <w:lang w:bidi="he-IL"/>
        </w:rPr>
        <w:t xml:space="preserve">   Even more recently, another class action suit was filed against Disney, DreamWorks, Lucasfilm Ltd, and Sony Pictures Animation for their agreements to not poach each other’s workers.</w:t>
      </w:r>
      <w:r w:rsidRPr="00245925">
        <w:rPr>
          <w:rStyle w:val="FootnoteReference"/>
          <w:rFonts w:eastAsia="Times New Roman" w:hAnsi="Times New Roman" w:cs="Times New Roman"/>
          <w:bCs/>
          <w:color w:val="auto"/>
          <w:bdr w:val="none" w:sz="0" w:space="0" w:color="auto"/>
          <w:lang w:bidi="he-IL"/>
        </w:rPr>
        <w:footnoteReference w:id="155"/>
      </w:r>
      <w:r w:rsidRPr="00245925">
        <w:rPr>
          <w:rFonts w:eastAsia="Times New Roman" w:hAnsi="Times New Roman" w:cs="Times New Roman"/>
          <w:bCs/>
          <w:color w:val="auto"/>
          <w:bdr w:val="none" w:sz="0" w:space="0" w:color="auto"/>
          <w:lang w:bidi="he-IL"/>
        </w:rPr>
        <w:t xml:space="preserve">  Robert A. Nitsch Jr., who worked at DreamWorks, filed this suit and alleged that “Defendants conspired not to actively solicit each other’s employees and to fix their employees’ wage and salary ranges as part of one overarching conspiracy to suppress the compensation of their employees and other class members.”</w:t>
      </w:r>
      <w:r w:rsidRPr="00245925">
        <w:rPr>
          <w:rStyle w:val="FootnoteReference"/>
          <w:rFonts w:eastAsia="Times New Roman" w:hAnsi="Times New Roman" w:cs="Times New Roman"/>
          <w:bCs/>
          <w:color w:val="auto"/>
          <w:bdr w:val="none" w:sz="0" w:space="0" w:color="auto"/>
          <w:lang w:bidi="he-IL"/>
        </w:rPr>
        <w:footnoteReference w:id="156"/>
      </w:r>
    </w:p>
    <w:p w14:paraId="4E7619D3" w14:textId="77777777" w:rsidR="007F1F19" w:rsidRPr="00DD1543" w:rsidRDefault="007F1F19">
      <w:pPr>
        <w:ind w:firstLine="720"/>
        <w:rPr>
          <w:rFonts w:hAnsi="Times New Roman" w:cs="Times New Roman"/>
          <w:color w:val="auto"/>
        </w:rPr>
      </w:pPr>
    </w:p>
    <w:p w14:paraId="23C98AB9" w14:textId="36D1BAC4" w:rsidR="000C10AB" w:rsidRDefault="00C3557D" w:rsidP="00C558BC">
      <w:pPr>
        <w:ind w:firstLine="720"/>
        <w:rPr>
          <w:rFonts w:hAnsi="Times New Roman" w:cs="Times New Roman"/>
          <w:color w:val="auto"/>
        </w:rPr>
      </w:pPr>
      <w:r>
        <w:rPr>
          <w:rFonts w:hAnsi="Times New Roman" w:cs="Times New Roman"/>
          <w:color w:val="auto"/>
        </w:rPr>
        <w:t xml:space="preserve">Notably, </w:t>
      </w:r>
      <w:r w:rsidR="00C558BC">
        <w:rPr>
          <w:rFonts w:hAnsi="Times New Roman" w:cs="Times New Roman"/>
          <w:color w:val="auto"/>
        </w:rPr>
        <w:t>the flipside of suc</w:t>
      </w:r>
      <w:r>
        <w:rPr>
          <w:rFonts w:hAnsi="Times New Roman" w:cs="Times New Roman"/>
          <w:color w:val="auto"/>
        </w:rPr>
        <w:t>h</w:t>
      </w:r>
      <w:r w:rsidR="002318AA" w:rsidRPr="00DD1543">
        <w:rPr>
          <w:rFonts w:hAnsi="Times New Roman" w:cs="Times New Roman"/>
          <w:color w:val="auto"/>
        </w:rPr>
        <w:t xml:space="preserve"> collusive agreements </w:t>
      </w:r>
      <w:r>
        <w:rPr>
          <w:rFonts w:hAnsi="Times New Roman" w:cs="Times New Roman"/>
          <w:color w:val="auto"/>
        </w:rPr>
        <w:t>are</w:t>
      </w:r>
      <w:r w:rsidR="002318AA" w:rsidRPr="00DD1543">
        <w:rPr>
          <w:rFonts w:hAnsi="Times New Roman" w:cs="Times New Roman"/>
          <w:color w:val="auto"/>
        </w:rPr>
        <w:t xml:space="preserve"> </w:t>
      </w:r>
      <w:r w:rsidR="00C558BC">
        <w:rPr>
          <w:rFonts w:hAnsi="Times New Roman" w:cs="Times New Roman"/>
          <w:color w:val="auto"/>
        </w:rPr>
        <w:t xml:space="preserve">cases which </w:t>
      </w:r>
      <w:r>
        <w:rPr>
          <w:rFonts w:hAnsi="Times New Roman" w:cs="Times New Roman"/>
          <w:color w:val="auto"/>
        </w:rPr>
        <w:t>deem the</w:t>
      </w:r>
      <w:r w:rsidR="002318AA" w:rsidRPr="00DD1543">
        <w:rPr>
          <w:rFonts w:hAnsi="Times New Roman" w:cs="Times New Roman"/>
          <w:color w:val="auto"/>
        </w:rPr>
        <w:t xml:space="preserve"> inducement of employees of other companies to leave their employer as actionable. A Pennsylvania court</w:t>
      </w:r>
      <w:r w:rsidR="0088275D">
        <w:rPr>
          <w:rFonts w:hAnsi="Times New Roman" w:cs="Times New Roman"/>
          <w:color w:val="auto"/>
        </w:rPr>
        <w:t>,</w:t>
      </w:r>
      <w:r w:rsidR="002318AA" w:rsidRPr="00DD1543">
        <w:rPr>
          <w:rFonts w:hAnsi="Times New Roman" w:cs="Times New Roman"/>
          <w:color w:val="auto"/>
        </w:rPr>
        <w:t xml:space="preserve"> for example</w:t>
      </w:r>
      <w:r w:rsidR="0088275D">
        <w:rPr>
          <w:rFonts w:hAnsi="Times New Roman" w:cs="Times New Roman"/>
          <w:color w:val="auto"/>
        </w:rPr>
        <w:t>,</w:t>
      </w:r>
      <w:r w:rsidR="002318AA" w:rsidRPr="00DD1543">
        <w:rPr>
          <w:rFonts w:hAnsi="Times New Roman" w:cs="Times New Roman"/>
          <w:color w:val="auto"/>
        </w:rPr>
        <w:t xml:space="preserve"> explained “systemically inducing employees to leave their present employment is actionable ‘when the purpose of such enticement is to cripple and destroy an integral part of a competitive business organization rather than to obtain the services of particularly gifted or skilled employees.’</w:t>
      </w:r>
      <w:r w:rsidR="0022118B">
        <w:rPr>
          <w:rFonts w:hAnsi="Times New Roman" w:cs="Times New Roman"/>
          <w:color w:val="auto"/>
        </w:rPr>
        <w:t>”</w:t>
      </w:r>
      <w:r w:rsidR="002318AA" w:rsidRPr="00DD1543">
        <w:rPr>
          <w:rFonts w:hAnsi="Times New Roman" w:cs="Times New Roman"/>
          <w:color w:val="auto"/>
          <w:vertAlign w:val="superscript"/>
        </w:rPr>
        <w:footnoteReference w:id="157"/>
      </w:r>
      <w:bookmarkStart w:id="24" w:name="sp_999_21"/>
      <w:r w:rsidR="000C10AB">
        <w:rPr>
          <w:rFonts w:hAnsi="Times New Roman" w:cs="Times New Roman"/>
          <w:color w:val="auto"/>
        </w:rPr>
        <w:t xml:space="preserve"> </w:t>
      </w:r>
      <w:r w:rsidR="002318AA" w:rsidRPr="00DD1543">
        <w:rPr>
          <w:rFonts w:hAnsi="Times New Roman" w:cs="Times New Roman"/>
          <w:color w:val="auto"/>
        </w:rPr>
        <w:t xml:space="preserve">The irony </w:t>
      </w:r>
      <w:r w:rsidR="009E7669">
        <w:rPr>
          <w:rFonts w:hAnsi="Times New Roman" w:cs="Times New Roman"/>
          <w:color w:val="auto"/>
        </w:rPr>
        <w:t xml:space="preserve">of the </w:t>
      </w:r>
      <w:r w:rsidR="002318AA" w:rsidRPr="00DD1543">
        <w:rPr>
          <w:rFonts w:hAnsi="Times New Roman" w:cs="Times New Roman"/>
          <w:color w:val="auto"/>
        </w:rPr>
        <w:t>Silicon Valley</w:t>
      </w:r>
      <w:r w:rsidR="009E7669">
        <w:rPr>
          <w:rFonts w:hAnsi="Times New Roman" w:cs="Times New Roman"/>
          <w:color w:val="auto"/>
        </w:rPr>
        <w:t xml:space="preserve"> cognitive cartel is that it occurred precisely </w:t>
      </w:r>
      <w:r w:rsidR="000C10AB">
        <w:rPr>
          <w:rFonts w:hAnsi="Times New Roman" w:cs="Times New Roman"/>
          <w:color w:val="auto"/>
        </w:rPr>
        <w:t xml:space="preserve">in </w:t>
      </w:r>
      <w:r w:rsidR="009E7669">
        <w:rPr>
          <w:rFonts w:hAnsi="Times New Roman" w:cs="Times New Roman"/>
          <w:color w:val="auto"/>
        </w:rPr>
        <w:t>the region that</w:t>
      </w:r>
      <w:r w:rsidR="002318AA" w:rsidRPr="00DD1543">
        <w:rPr>
          <w:rFonts w:hAnsi="Times New Roman" w:cs="Times New Roman"/>
          <w:color w:val="auto"/>
        </w:rPr>
        <w:t xml:space="preserve"> </w:t>
      </w:r>
      <w:r w:rsidR="000C10AB" w:rsidRPr="00DD1543">
        <w:rPr>
          <w:rFonts w:hAnsi="Times New Roman" w:cs="Times New Roman"/>
          <w:color w:val="auto"/>
        </w:rPr>
        <w:t>ha</w:t>
      </w:r>
      <w:r w:rsidR="000C10AB">
        <w:rPr>
          <w:rFonts w:hAnsi="Times New Roman" w:cs="Times New Roman"/>
          <w:color w:val="auto"/>
        </w:rPr>
        <w:t xml:space="preserve">s </w:t>
      </w:r>
      <w:r w:rsidR="009E7669">
        <w:rPr>
          <w:rFonts w:hAnsi="Times New Roman" w:cs="Times New Roman"/>
          <w:color w:val="auto"/>
        </w:rPr>
        <w:t>most</w:t>
      </w:r>
      <w:r w:rsidR="002318AA" w:rsidRPr="00DD1543">
        <w:rPr>
          <w:rFonts w:hAnsi="Times New Roman" w:cs="Times New Roman"/>
          <w:color w:val="auto"/>
        </w:rPr>
        <w:t xml:space="preserve"> benefited from California’s </w:t>
      </w:r>
      <w:r w:rsidR="009E7669">
        <w:rPr>
          <w:rFonts w:hAnsi="Times New Roman" w:cs="Times New Roman"/>
          <w:color w:val="auto"/>
        </w:rPr>
        <w:t>exceptional policy of</w:t>
      </w:r>
      <w:r w:rsidR="002318AA" w:rsidRPr="00DD1543">
        <w:rPr>
          <w:rFonts w:hAnsi="Times New Roman" w:cs="Times New Roman"/>
          <w:color w:val="auto"/>
        </w:rPr>
        <w:t xml:space="preserve"> void</w:t>
      </w:r>
      <w:r w:rsidR="009E7669">
        <w:rPr>
          <w:rFonts w:hAnsi="Times New Roman" w:cs="Times New Roman"/>
          <w:color w:val="auto"/>
        </w:rPr>
        <w:t>ing</w:t>
      </w:r>
      <w:r w:rsidR="00C558BC">
        <w:rPr>
          <w:rFonts w:hAnsi="Times New Roman" w:cs="Times New Roman"/>
          <w:color w:val="auto"/>
        </w:rPr>
        <w:t xml:space="preserve"> non-compete agreements</w:t>
      </w:r>
      <w:r w:rsidR="002318AA" w:rsidRPr="00DD1543">
        <w:rPr>
          <w:rFonts w:hAnsi="Times New Roman" w:cs="Times New Roman"/>
          <w:color w:val="auto"/>
        </w:rPr>
        <w:t>.</w:t>
      </w:r>
      <w:r w:rsidR="003263A0">
        <w:rPr>
          <w:rStyle w:val="FootnoteReference"/>
          <w:rFonts w:hAnsi="Times New Roman" w:cs="Times New Roman"/>
          <w:color w:val="auto"/>
        </w:rPr>
        <w:footnoteReference w:id="158"/>
      </w:r>
      <w:r w:rsidR="009E7669">
        <w:rPr>
          <w:rFonts w:hAnsi="Times New Roman" w:cs="Times New Roman"/>
          <w:color w:val="auto"/>
        </w:rPr>
        <w:t xml:space="preserve"> </w:t>
      </w:r>
    </w:p>
    <w:p w14:paraId="05DB913C" w14:textId="77777777" w:rsidR="00757D4D" w:rsidRDefault="00757D4D" w:rsidP="00653669">
      <w:pPr>
        <w:ind w:firstLine="720"/>
        <w:rPr>
          <w:rFonts w:hAnsi="Times New Roman" w:cs="Times New Roman"/>
          <w:color w:val="auto"/>
        </w:rPr>
      </w:pPr>
    </w:p>
    <w:p w14:paraId="535F5CD9" w14:textId="3A6A3D97" w:rsidR="009E7669" w:rsidRDefault="00F104F3" w:rsidP="00771685">
      <w:pPr>
        <w:ind w:firstLine="720"/>
        <w:rPr>
          <w:rFonts w:eastAsia="Times New Roman" w:hAnsi="Times New Roman" w:cs="Times New Roman"/>
          <w:bCs/>
          <w:color w:val="auto"/>
          <w:sz w:val="20"/>
          <w:szCs w:val="20"/>
          <w:bdr w:val="none" w:sz="0" w:space="0" w:color="auto"/>
          <w:lang w:bidi="he-IL"/>
        </w:rPr>
      </w:pPr>
      <w:r w:rsidRPr="00DD1543">
        <w:rPr>
          <w:rFonts w:hAnsi="Times New Roman" w:cs="Times New Roman"/>
          <w:color w:val="auto"/>
        </w:rPr>
        <w:t xml:space="preserve">The DOJ called the </w:t>
      </w:r>
      <w:r>
        <w:rPr>
          <w:rFonts w:hAnsi="Times New Roman" w:cs="Times New Roman"/>
          <w:color w:val="auto"/>
        </w:rPr>
        <w:t>cognitive cartels formed in Silicon Valley</w:t>
      </w:r>
      <w:r w:rsidRPr="00DD1543">
        <w:rPr>
          <w:rFonts w:hAnsi="Times New Roman" w:cs="Times New Roman"/>
          <w:color w:val="auto"/>
        </w:rPr>
        <w:t xml:space="preserve"> “blatant and egregious.”</w:t>
      </w:r>
      <w:r w:rsidR="00DA25A7">
        <w:rPr>
          <w:rStyle w:val="FootnoteReference"/>
          <w:rFonts w:hAnsi="Times New Roman" w:cs="Times New Roman"/>
          <w:color w:val="auto"/>
        </w:rPr>
        <w:footnoteReference w:id="159"/>
      </w:r>
      <w:r w:rsidRPr="00DD1543">
        <w:rPr>
          <w:rFonts w:hAnsi="Times New Roman" w:cs="Times New Roman"/>
          <w:color w:val="auto"/>
        </w:rPr>
        <w:t xml:space="preserve"> When Intuit sent a recruiting flyer to an eBay employee, eBay CEO Meg Whitman immediately contacted top executives at Intuit asking them to “remind your folks not to send this stuff to eBay people.”  She </w:t>
      </w:r>
      <w:r w:rsidR="006D0E90">
        <w:rPr>
          <w:rFonts w:hAnsi="Times New Roman" w:cs="Times New Roman"/>
          <w:color w:val="auto"/>
        </w:rPr>
        <w:t>wrote Google’s</w:t>
      </w:r>
      <w:r w:rsidRPr="00DD1543">
        <w:rPr>
          <w:rFonts w:hAnsi="Times New Roman" w:cs="Times New Roman"/>
          <w:color w:val="auto"/>
        </w:rPr>
        <w:t xml:space="preserve"> Eric Schmidt that “recruiting practices are ‘zero sum’</w:t>
      </w:r>
      <w:r w:rsidR="006D0E90">
        <w:rPr>
          <w:rFonts w:hAnsi="Times New Roman" w:cs="Times New Roman"/>
          <w:color w:val="auto"/>
        </w:rPr>
        <w:t>”</w:t>
      </w:r>
      <w:r w:rsidRPr="00DD1543">
        <w:rPr>
          <w:rFonts w:hAnsi="Times New Roman" w:cs="Times New Roman"/>
          <w:color w:val="auto"/>
        </w:rPr>
        <w:t xml:space="preserve"> and that targeting eBay employees “drives salaries up across the board</w:t>
      </w:r>
      <w:r>
        <w:rPr>
          <w:rFonts w:hAnsi="Times New Roman" w:cs="Times New Roman"/>
          <w:color w:val="auto"/>
        </w:rPr>
        <w:t>,</w:t>
      </w:r>
      <w:r w:rsidRPr="00DD1543">
        <w:rPr>
          <w:rFonts w:hAnsi="Times New Roman" w:cs="Times New Roman"/>
          <w:color w:val="auto"/>
        </w:rPr>
        <w:t>” which, in the “valley’s view</w:t>
      </w:r>
      <w:r>
        <w:rPr>
          <w:rFonts w:hAnsi="Times New Roman" w:cs="Times New Roman"/>
          <w:color w:val="auto"/>
        </w:rPr>
        <w:t>,</w:t>
      </w:r>
      <w:r w:rsidRPr="00DD1543">
        <w:rPr>
          <w:rFonts w:hAnsi="Times New Roman" w:cs="Times New Roman"/>
          <w:color w:val="auto"/>
        </w:rPr>
        <w:t xml:space="preserve">” is an “unfair practice.” </w:t>
      </w:r>
      <w:r>
        <w:rPr>
          <w:rFonts w:hAnsi="Times New Roman" w:cs="Times New Roman"/>
          <w:color w:val="auto"/>
        </w:rPr>
        <w:t xml:space="preserve">This exchange </w:t>
      </w:r>
      <w:r w:rsidR="006D0E90">
        <w:rPr>
          <w:rFonts w:hAnsi="Times New Roman" w:cs="Times New Roman"/>
          <w:color w:val="auto"/>
        </w:rPr>
        <w:t>epitomizes</w:t>
      </w:r>
      <w:r>
        <w:rPr>
          <w:rFonts w:hAnsi="Times New Roman" w:cs="Times New Roman"/>
          <w:color w:val="auto"/>
        </w:rPr>
        <w:t xml:space="preserve"> the </w:t>
      </w:r>
      <w:r w:rsidRPr="00DD1543">
        <w:rPr>
          <w:rFonts w:hAnsi="Times New Roman" w:cs="Times New Roman"/>
          <w:color w:val="auto"/>
        </w:rPr>
        <w:t>upside</w:t>
      </w:r>
      <w:r>
        <w:rPr>
          <w:rFonts w:hAnsi="Times New Roman" w:cs="Times New Roman"/>
          <w:color w:val="auto"/>
        </w:rPr>
        <w:t>-</w:t>
      </w:r>
      <w:r w:rsidRPr="00DD1543">
        <w:rPr>
          <w:rFonts w:hAnsi="Times New Roman" w:cs="Times New Roman"/>
          <w:color w:val="auto"/>
        </w:rPr>
        <w:t>down world</w:t>
      </w:r>
      <w:r>
        <w:rPr>
          <w:rFonts w:hAnsi="Times New Roman" w:cs="Times New Roman"/>
          <w:color w:val="auto"/>
        </w:rPr>
        <w:t xml:space="preserve"> of the new cognitive property: talent mobility is deemed a</w:t>
      </w:r>
      <w:r w:rsidR="006D0E90">
        <w:rPr>
          <w:rFonts w:hAnsi="Times New Roman" w:cs="Times New Roman"/>
          <w:color w:val="auto"/>
        </w:rPr>
        <w:t>n</w:t>
      </w:r>
      <w:r>
        <w:rPr>
          <w:rFonts w:hAnsi="Times New Roman" w:cs="Times New Roman"/>
          <w:color w:val="auto"/>
        </w:rPr>
        <w:t xml:space="preserve"> “unfair practice” while suppressing competition through human capital control </w:t>
      </w:r>
      <w:r w:rsidR="006D0E90">
        <w:rPr>
          <w:rFonts w:hAnsi="Times New Roman" w:cs="Times New Roman"/>
          <w:color w:val="auto"/>
        </w:rPr>
        <w:t>becomes</w:t>
      </w:r>
      <w:r>
        <w:rPr>
          <w:rFonts w:hAnsi="Times New Roman" w:cs="Times New Roman"/>
          <w:color w:val="auto"/>
        </w:rPr>
        <w:t xml:space="preserve"> the norm. </w:t>
      </w:r>
      <w:r w:rsidR="006D0E90">
        <w:rPr>
          <w:rFonts w:hAnsi="Times New Roman" w:cs="Times New Roman"/>
          <w:color w:val="auto"/>
        </w:rPr>
        <w:t>This</w:t>
      </w:r>
      <w:r w:rsidR="000A0083">
        <w:rPr>
          <w:rFonts w:hAnsi="Times New Roman" w:cs="Times New Roman"/>
          <w:color w:val="auto"/>
        </w:rPr>
        <w:t xml:space="preserve"> pattern resonates with earlier </w:t>
      </w:r>
      <w:r w:rsidR="006D0E90">
        <w:rPr>
          <w:rFonts w:hAnsi="Times New Roman" w:cs="Times New Roman"/>
          <w:color w:val="auto"/>
        </w:rPr>
        <w:t xml:space="preserve">IP </w:t>
      </w:r>
      <w:r w:rsidR="000A0083">
        <w:rPr>
          <w:rFonts w:hAnsi="Times New Roman" w:cs="Times New Roman"/>
          <w:color w:val="auto"/>
        </w:rPr>
        <w:t>debates</w:t>
      </w:r>
      <w:r w:rsidR="006D0E90">
        <w:rPr>
          <w:rFonts w:hAnsi="Times New Roman" w:cs="Times New Roman"/>
          <w:color w:val="auto"/>
        </w:rPr>
        <w:t xml:space="preserve">, </w:t>
      </w:r>
      <w:r w:rsidR="00B12E25">
        <w:rPr>
          <w:rFonts w:hAnsi="Times New Roman" w:cs="Times New Roman"/>
          <w:color w:val="auto"/>
        </w:rPr>
        <w:t>particularly</w:t>
      </w:r>
      <w:r w:rsidR="006D0E90">
        <w:rPr>
          <w:rFonts w:hAnsi="Times New Roman" w:cs="Times New Roman"/>
          <w:color w:val="auto"/>
        </w:rPr>
        <w:t xml:space="preserve"> in the copyright world</w:t>
      </w:r>
      <w:r w:rsidR="009E7669" w:rsidRPr="000C10AB">
        <w:rPr>
          <w:rFonts w:hAnsi="Times New Roman" w:cs="Times New Roman"/>
          <w:color w:val="auto"/>
        </w:rPr>
        <w:t xml:space="preserve">. Larry Lessig famously </w:t>
      </w:r>
      <w:r w:rsidR="006D0E90">
        <w:rPr>
          <w:rFonts w:hAnsi="Times New Roman" w:cs="Times New Roman"/>
          <w:color w:val="auto"/>
        </w:rPr>
        <w:t>lamented the gap between</w:t>
      </w:r>
      <w:r w:rsidR="009E7669" w:rsidRPr="000C10AB">
        <w:rPr>
          <w:rFonts w:hAnsi="Times New Roman" w:cs="Times New Roman"/>
          <w:color w:val="auto"/>
        </w:rPr>
        <w:t xml:space="preserve"> the </w:t>
      </w:r>
      <w:r w:rsidR="006D0E90">
        <w:rPr>
          <w:rFonts w:hAnsi="Times New Roman" w:cs="Times New Roman"/>
          <w:color w:val="auto"/>
        </w:rPr>
        <w:t xml:space="preserve">early Disney years, when </w:t>
      </w:r>
      <w:r w:rsidR="009E7669" w:rsidRPr="00AB3561">
        <w:rPr>
          <w:rFonts w:eastAsia="Times New Roman" w:hAnsi="Times New Roman" w:cs="Times New Roman"/>
          <w:color w:val="auto"/>
          <w:bdr w:val="none" w:sz="0" w:space="0" w:color="auto"/>
          <w:lang w:bidi="he-IL"/>
        </w:rPr>
        <w:t>“to use the language of</w:t>
      </w:r>
      <w:r w:rsidR="000A0083">
        <w:rPr>
          <w:rFonts w:eastAsia="Times New Roman" w:hAnsi="Times New Roman" w:cs="Times New Roman"/>
          <w:color w:val="auto"/>
          <w:bdr w:val="none" w:sz="0" w:space="0" w:color="auto"/>
          <w:lang w:bidi="he-IL"/>
        </w:rPr>
        <w:t xml:space="preserve"> the Disney Corporation today,</w:t>
      </w:r>
      <w:r w:rsidR="00771685" w:rsidRPr="00771685">
        <w:rPr>
          <w:rFonts w:eastAsia="Times New Roman" w:hAnsi="Times New Roman" w:cs="Times New Roman"/>
          <w:color w:val="auto"/>
          <w:bdr w:val="none" w:sz="0" w:space="0" w:color="auto"/>
          <w:lang w:bidi="he-IL"/>
        </w:rPr>
        <w:t xml:space="preserve"> </w:t>
      </w:r>
      <w:r w:rsidR="00771685">
        <w:rPr>
          <w:rFonts w:eastAsia="Times New Roman" w:hAnsi="Times New Roman" w:cs="Times New Roman"/>
          <w:color w:val="auto"/>
          <w:bdr w:val="none" w:sz="0" w:space="0" w:color="auto"/>
          <w:lang w:bidi="he-IL"/>
        </w:rPr>
        <w:t>Walt Disney</w:t>
      </w:r>
      <w:r w:rsidR="000A0083">
        <w:rPr>
          <w:rFonts w:eastAsia="Times New Roman" w:hAnsi="Times New Roman" w:cs="Times New Roman"/>
          <w:color w:val="auto"/>
          <w:bdr w:val="none" w:sz="0" w:space="0" w:color="auto"/>
          <w:lang w:bidi="he-IL"/>
        </w:rPr>
        <w:t xml:space="preserve"> ‘stole’</w:t>
      </w:r>
      <w:r w:rsidR="009E7669" w:rsidRPr="00AB3561">
        <w:rPr>
          <w:rFonts w:eastAsia="Times New Roman" w:hAnsi="Times New Roman" w:cs="Times New Roman"/>
          <w:color w:val="auto"/>
          <w:bdr w:val="none" w:sz="0" w:space="0" w:color="auto"/>
          <w:lang w:bidi="he-IL"/>
        </w:rPr>
        <w:t xml:space="preserve"> Willie </w:t>
      </w:r>
      <w:r w:rsidR="006D0E90">
        <w:rPr>
          <w:rFonts w:eastAsia="Times New Roman" w:hAnsi="Times New Roman" w:cs="Times New Roman"/>
          <w:color w:val="auto"/>
          <w:bdr w:val="none" w:sz="0" w:space="0" w:color="auto"/>
          <w:lang w:bidi="he-IL"/>
        </w:rPr>
        <w:t>[which became Mickey Mouse] from Buster Keaton” and the reality today.</w:t>
      </w:r>
      <w:r w:rsidR="00215B47" w:rsidRPr="00215B47">
        <w:rPr>
          <w:rStyle w:val="FootnoteReference"/>
          <w:rFonts w:eastAsia="Times New Roman" w:hAnsi="Times New Roman" w:cs="Times New Roman"/>
          <w:color w:val="auto"/>
          <w:bdr w:val="none" w:sz="0" w:space="0" w:color="auto"/>
          <w:lang w:bidi="he-IL"/>
        </w:rPr>
        <w:t xml:space="preserve"> </w:t>
      </w:r>
      <w:r w:rsidR="00215B47">
        <w:rPr>
          <w:rStyle w:val="FootnoteReference"/>
          <w:rFonts w:eastAsia="Times New Roman" w:hAnsi="Times New Roman" w:cs="Times New Roman"/>
          <w:color w:val="auto"/>
          <w:bdr w:val="none" w:sz="0" w:space="0" w:color="auto"/>
          <w:lang w:bidi="he-IL"/>
        </w:rPr>
        <w:footnoteReference w:id="160"/>
      </w:r>
      <w:r w:rsidR="00215B47" w:rsidRPr="00AB3561">
        <w:rPr>
          <w:rFonts w:eastAsia="Times New Roman" w:hAnsi="Times New Roman" w:cs="Times New Roman"/>
          <w:color w:val="auto"/>
          <w:bdr w:val="none" w:sz="0" w:space="0" w:color="auto"/>
          <w:lang w:bidi="he-IL"/>
        </w:rPr>
        <w:t xml:space="preserve"> </w:t>
      </w:r>
      <w:r w:rsidR="006D0E90">
        <w:rPr>
          <w:rFonts w:eastAsia="Times New Roman" w:hAnsi="Times New Roman" w:cs="Times New Roman"/>
          <w:color w:val="auto"/>
          <w:bdr w:val="none" w:sz="0" w:space="0" w:color="auto"/>
          <w:lang w:bidi="he-IL"/>
        </w:rPr>
        <w:t>While a</w:t>
      </w:r>
      <w:r w:rsidR="009E7669" w:rsidRPr="00AB3561">
        <w:rPr>
          <w:rFonts w:eastAsia="Times New Roman" w:hAnsi="Times New Roman" w:cs="Times New Roman"/>
          <w:color w:val="auto"/>
          <w:bdr w:val="none" w:sz="0" w:space="0" w:color="auto"/>
          <w:lang w:bidi="he-IL"/>
        </w:rPr>
        <w:t xml:space="preserve"> large number of Disney’s animated hits are derived from the Brothers Grimm</w:t>
      </w:r>
      <w:r w:rsidR="000C10AB">
        <w:rPr>
          <w:rFonts w:eastAsia="Times New Roman" w:hAnsi="Times New Roman" w:cs="Times New Roman"/>
          <w:color w:val="auto"/>
          <w:bdr w:val="none" w:sz="0" w:space="0" w:color="auto"/>
          <w:lang w:bidi="he-IL"/>
        </w:rPr>
        <w:t xml:space="preserve"> </w:t>
      </w:r>
      <w:r w:rsidR="006D0E90">
        <w:rPr>
          <w:rFonts w:eastAsia="Times New Roman" w:hAnsi="Times New Roman" w:cs="Times New Roman"/>
          <w:color w:val="auto"/>
          <w:bdr w:val="none" w:sz="0" w:space="0" w:color="auto"/>
          <w:lang w:bidi="he-IL"/>
        </w:rPr>
        <w:t>fairytales and culture icons,</w:t>
      </w:r>
      <w:r w:rsidR="009E7669" w:rsidRPr="00AB3561">
        <w:rPr>
          <w:rFonts w:eastAsia="Times New Roman" w:hAnsi="Times New Roman" w:cs="Times New Roman"/>
          <w:color w:val="auto"/>
          <w:bdr w:val="none" w:sz="0" w:space="0" w:color="auto"/>
          <w:lang w:bidi="he-IL"/>
        </w:rPr>
        <w:t xml:space="preserve"> </w:t>
      </w:r>
      <w:r w:rsidR="006D0E90">
        <w:rPr>
          <w:rFonts w:eastAsia="Times New Roman" w:hAnsi="Times New Roman" w:cs="Times New Roman"/>
          <w:color w:val="auto"/>
          <w:bdr w:val="none" w:sz="0" w:space="0" w:color="auto"/>
          <w:lang w:bidi="he-IL"/>
        </w:rPr>
        <w:t>under contemporary realities</w:t>
      </w:r>
      <w:r w:rsidR="009E7669" w:rsidRPr="00AB3561">
        <w:rPr>
          <w:rFonts w:eastAsia="Times New Roman" w:hAnsi="Times New Roman" w:cs="Times New Roman"/>
          <w:color w:val="auto"/>
          <w:bdr w:val="none" w:sz="0" w:space="0" w:color="auto"/>
          <w:lang w:bidi="he-IL"/>
        </w:rPr>
        <w:t>, with the strengthening of copyright protectio</w:t>
      </w:r>
      <w:r w:rsidR="000C10AB">
        <w:rPr>
          <w:rFonts w:eastAsia="Times New Roman" w:hAnsi="Times New Roman" w:cs="Times New Roman"/>
          <w:color w:val="auto"/>
          <w:bdr w:val="none" w:sz="0" w:space="0" w:color="auto"/>
          <w:lang w:bidi="he-IL"/>
        </w:rPr>
        <w:t>n</w:t>
      </w:r>
      <w:r w:rsidR="009E7669" w:rsidRPr="00AB3561">
        <w:rPr>
          <w:rFonts w:eastAsia="Times New Roman" w:hAnsi="Times New Roman" w:cs="Times New Roman"/>
          <w:color w:val="auto"/>
          <w:bdr w:val="none" w:sz="0" w:space="0" w:color="auto"/>
          <w:lang w:bidi="he-IL"/>
        </w:rPr>
        <w:t>s, “no one can do to the Disney Corporation what Walt Disney did to the Brothers Grimm (and to Steambo</w:t>
      </w:r>
      <w:r w:rsidR="0000609C">
        <w:rPr>
          <w:rFonts w:eastAsia="Times New Roman" w:hAnsi="Times New Roman" w:cs="Times New Roman"/>
          <w:color w:val="auto"/>
          <w:bdr w:val="none" w:sz="0" w:space="0" w:color="auto"/>
          <w:lang w:bidi="he-IL"/>
        </w:rPr>
        <w:t>a</w:t>
      </w:r>
      <w:r w:rsidR="009E7669" w:rsidRPr="00AB3561">
        <w:rPr>
          <w:rFonts w:eastAsia="Times New Roman" w:hAnsi="Times New Roman" w:cs="Times New Roman"/>
          <w:color w:val="auto"/>
          <w:bdr w:val="none" w:sz="0" w:space="0" w:color="auto"/>
          <w:lang w:bidi="he-IL"/>
        </w:rPr>
        <w:t>t Bill).”</w:t>
      </w:r>
      <w:r w:rsidR="00215B47">
        <w:rPr>
          <w:rStyle w:val="FootnoteReference"/>
          <w:rFonts w:eastAsia="Times New Roman" w:hAnsi="Times New Roman" w:cs="Times New Roman"/>
          <w:color w:val="auto"/>
          <w:bdr w:val="none" w:sz="0" w:space="0" w:color="auto"/>
          <w:lang w:bidi="he-IL"/>
        </w:rPr>
        <w:footnoteReference w:id="161"/>
      </w:r>
      <w:r w:rsidR="00722A78">
        <w:rPr>
          <w:rFonts w:eastAsia="Times New Roman" w:hAnsi="Times New Roman" w:cs="Times New Roman"/>
          <w:color w:val="auto"/>
          <w:bdr w:val="none" w:sz="0" w:space="0" w:color="auto"/>
          <w:lang w:bidi="he-IL"/>
        </w:rPr>
        <w:t xml:space="preserve"> </w:t>
      </w:r>
      <w:r w:rsidR="009E7669" w:rsidRPr="00AB3561">
        <w:rPr>
          <w:rFonts w:eastAsia="Times New Roman" w:hAnsi="Times New Roman" w:cs="Times New Roman"/>
          <w:color w:val="auto"/>
          <w:bdr w:val="none" w:sz="0" w:space="0" w:color="auto"/>
          <w:lang w:bidi="he-IL"/>
        </w:rPr>
        <w:t xml:space="preserve">The same is happening today in </w:t>
      </w:r>
      <w:r w:rsidR="00074E44">
        <w:rPr>
          <w:rFonts w:eastAsia="Times New Roman" w:hAnsi="Times New Roman" w:cs="Times New Roman"/>
          <w:color w:val="auto"/>
          <w:bdr w:val="none" w:sz="0" w:space="0" w:color="auto"/>
          <w:lang w:bidi="he-IL"/>
        </w:rPr>
        <w:t>human capital law</w:t>
      </w:r>
      <w:r w:rsidR="009E7669" w:rsidRPr="00AB3561">
        <w:rPr>
          <w:rFonts w:eastAsia="Times New Roman" w:hAnsi="Times New Roman" w:cs="Times New Roman"/>
          <w:color w:val="auto"/>
          <w:bdr w:val="none" w:sz="0" w:space="0" w:color="auto"/>
          <w:lang w:bidi="he-IL"/>
        </w:rPr>
        <w:t xml:space="preserve">. </w:t>
      </w:r>
      <w:r w:rsidR="000C10AB">
        <w:rPr>
          <w:rFonts w:eastAsia="Times New Roman" w:hAnsi="Times New Roman" w:cs="Times New Roman"/>
          <w:color w:val="auto"/>
          <w:bdr w:val="none" w:sz="0" w:space="0" w:color="auto"/>
          <w:lang w:bidi="he-IL"/>
        </w:rPr>
        <w:t>C</w:t>
      </w:r>
      <w:r w:rsidR="009E7669" w:rsidRPr="00AB3561">
        <w:rPr>
          <w:rFonts w:eastAsia="Times New Roman" w:hAnsi="Times New Roman" w:cs="Times New Roman"/>
          <w:color w:val="auto"/>
          <w:bdr w:val="none" w:sz="0" w:space="0" w:color="auto"/>
          <w:lang w:bidi="he-IL"/>
        </w:rPr>
        <w:t>ompanies such as Apple and Google</w:t>
      </w:r>
      <w:r w:rsidR="00925400">
        <w:rPr>
          <w:rFonts w:eastAsia="Times New Roman" w:hAnsi="Times New Roman" w:cs="Times New Roman"/>
          <w:color w:val="auto"/>
          <w:bdr w:val="none" w:sz="0" w:space="0" w:color="auto"/>
          <w:lang w:bidi="he-IL"/>
        </w:rPr>
        <w:t>,</w:t>
      </w:r>
      <w:r w:rsidR="009E7669" w:rsidRPr="00AB3561">
        <w:rPr>
          <w:rFonts w:eastAsia="Times New Roman" w:hAnsi="Times New Roman" w:cs="Times New Roman"/>
          <w:color w:val="auto"/>
          <w:bdr w:val="none" w:sz="0" w:space="0" w:color="auto"/>
          <w:lang w:bidi="he-IL"/>
        </w:rPr>
        <w:t xml:space="preserve"> which had benefited from the vibrant culture of innovation and mobility in Silicon Valley</w:t>
      </w:r>
      <w:r w:rsidR="0061473F" w:rsidRPr="009071B5">
        <w:rPr>
          <w:rFonts w:eastAsia="Times New Roman" w:hAnsi="Times New Roman" w:cs="Times New Roman"/>
          <w:color w:val="auto"/>
          <w:bdr w:val="none" w:sz="0" w:space="0" w:color="auto"/>
          <w:lang w:bidi="he-IL"/>
        </w:rPr>
        <w:t>,</w:t>
      </w:r>
      <w:r w:rsidR="009E7669" w:rsidRPr="00AB3561">
        <w:rPr>
          <w:rFonts w:eastAsia="Times New Roman" w:hAnsi="Times New Roman" w:cs="Times New Roman"/>
          <w:color w:val="auto"/>
          <w:bdr w:val="none" w:sz="0" w:space="0" w:color="auto"/>
          <w:lang w:bidi="he-IL"/>
        </w:rPr>
        <w:t xml:space="preserve"> have become </w:t>
      </w:r>
      <w:r w:rsidR="00215B47">
        <w:rPr>
          <w:rFonts w:eastAsia="Times New Roman" w:hAnsi="Times New Roman" w:cs="Times New Roman"/>
          <w:color w:val="auto"/>
          <w:bdr w:val="none" w:sz="0" w:space="0" w:color="auto"/>
          <w:lang w:bidi="he-IL"/>
        </w:rPr>
        <w:t xml:space="preserve">entrenched </w:t>
      </w:r>
      <w:r w:rsidR="000C2C02">
        <w:rPr>
          <w:rFonts w:eastAsia="Times New Roman" w:hAnsi="Times New Roman" w:cs="Times New Roman"/>
          <w:color w:val="auto"/>
          <w:bdr w:val="none" w:sz="0" w:space="0" w:color="auto"/>
          <w:lang w:bidi="he-IL"/>
        </w:rPr>
        <w:t>in</w:t>
      </w:r>
      <w:r w:rsidR="00215B47">
        <w:rPr>
          <w:rFonts w:eastAsia="Times New Roman" w:hAnsi="Times New Roman" w:cs="Times New Roman"/>
          <w:color w:val="auto"/>
          <w:bdr w:val="none" w:sz="0" w:space="0" w:color="auto"/>
          <w:lang w:bidi="he-IL"/>
        </w:rPr>
        <w:t xml:space="preserve"> the notion of ownership over human capital,</w:t>
      </w:r>
      <w:r w:rsidR="009E7669" w:rsidRPr="00AB3561">
        <w:rPr>
          <w:rFonts w:eastAsia="Times New Roman" w:hAnsi="Times New Roman" w:cs="Times New Roman"/>
          <w:color w:val="auto"/>
          <w:bdr w:val="none" w:sz="0" w:space="0" w:color="auto"/>
          <w:lang w:bidi="he-IL"/>
        </w:rPr>
        <w:t xml:space="preserve"> </w:t>
      </w:r>
      <w:r w:rsidR="00215B47">
        <w:rPr>
          <w:rFonts w:eastAsia="Times New Roman" w:hAnsi="Times New Roman" w:cs="Times New Roman"/>
          <w:color w:val="auto"/>
          <w:bdr w:val="none" w:sz="0" w:space="0" w:color="auto"/>
          <w:lang w:bidi="he-IL"/>
        </w:rPr>
        <w:t xml:space="preserve">such that they aim </w:t>
      </w:r>
      <w:r w:rsidR="00653669" w:rsidRPr="00AB3561">
        <w:rPr>
          <w:rFonts w:eastAsia="Times New Roman" w:hAnsi="Times New Roman" w:cs="Times New Roman"/>
          <w:color w:val="auto"/>
          <w:bdr w:val="none" w:sz="0" w:space="0" w:color="auto"/>
          <w:lang w:bidi="he-IL"/>
        </w:rPr>
        <w:t xml:space="preserve">to not let others do to them what they </w:t>
      </w:r>
      <w:r w:rsidR="003A2692">
        <w:rPr>
          <w:rFonts w:eastAsia="Times New Roman" w:hAnsi="Times New Roman" w:cs="Times New Roman"/>
          <w:color w:val="auto"/>
          <w:bdr w:val="none" w:sz="0" w:space="0" w:color="auto"/>
          <w:lang w:bidi="he-IL"/>
        </w:rPr>
        <w:t>have</w:t>
      </w:r>
      <w:r w:rsidR="003A2692" w:rsidRPr="00AB3561">
        <w:rPr>
          <w:rFonts w:eastAsia="Times New Roman" w:hAnsi="Times New Roman" w:cs="Times New Roman"/>
          <w:color w:val="auto"/>
          <w:bdr w:val="none" w:sz="0" w:space="0" w:color="auto"/>
          <w:lang w:bidi="he-IL"/>
        </w:rPr>
        <w:t xml:space="preserve"> </w:t>
      </w:r>
      <w:r w:rsidR="00653669" w:rsidRPr="00AB3561">
        <w:rPr>
          <w:rFonts w:eastAsia="Times New Roman" w:hAnsi="Times New Roman" w:cs="Times New Roman"/>
          <w:color w:val="auto"/>
          <w:bdr w:val="none" w:sz="0" w:space="0" w:color="auto"/>
          <w:lang w:bidi="he-IL"/>
        </w:rPr>
        <w:t>done to others: recruit experienced employees. A final irony in this context should be noted. In the past few years, S</w:t>
      </w:r>
      <w:r w:rsidR="00653669" w:rsidRPr="00AB3561">
        <w:rPr>
          <w:rFonts w:hAnsi="Times New Roman" w:cs="Times New Roman"/>
          <w:color w:val="auto"/>
          <w:shd w:val="clear" w:color="auto" w:fill="FFFFFF"/>
        </w:rPr>
        <w:t>ilicon Valley leaders have been vocal about a talent drought, strongly advocating immigration reform to allow more flow of employees from around the world</w:t>
      </w:r>
      <w:r w:rsidR="0045553B">
        <w:rPr>
          <w:rFonts w:hAnsi="Times New Roman" w:cs="Times New Roman"/>
          <w:color w:val="auto"/>
          <w:shd w:val="clear" w:color="auto" w:fill="FFFFFF"/>
        </w:rPr>
        <w:t>,</w:t>
      </w:r>
      <w:r w:rsidR="00ED77D7">
        <w:rPr>
          <w:rStyle w:val="FootnoteReference"/>
          <w:rFonts w:hAnsi="Times New Roman" w:cs="Times New Roman"/>
          <w:color w:val="auto"/>
          <w:shd w:val="clear" w:color="auto" w:fill="FFFFFF"/>
        </w:rPr>
        <w:footnoteReference w:id="162"/>
      </w:r>
      <w:r w:rsidR="00653669" w:rsidRPr="00AB3561">
        <w:rPr>
          <w:rFonts w:hAnsi="Times New Roman" w:cs="Times New Roman"/>
          <w:color w:val="auto"/>
          <w:shd w:val="clear" w:color="auto" w:fill="FFFFFF"/>
        </w:rPr>
        <w:t xml:space="preserve"> yet, these same high tech leaders conspired to suppress the market for talent in the</w:t>
      </w:r>
      <w:r w:rsidR="006B5B98">
        <w:rPr>
          <w:rFonts w:hAnsi="Times New Roman" w:cs="Times New Roman"/>
          <w:color w:val="auto"/>
          <w:shd w:val="clear" w:color="auto" w:fill="FFFFFF"/>
        </w:rPr>
        <w:t>ir own</w:t>
      </w:r>
      <w:r w:rsidR="00653669" w:rsidRPr="00AB3561">
        <w:rPr>
          <w:rFonts w:hAnsi="Times New Roman" w:cs="Times New Roman"/>
          <w:color w:val="auto"/>
          <w:shd w:val="clear" w:color="auto" w:fill="FFFFFF"/>
        </w:rPr>
        <w:t xml:space="preserve"> </w:t>
      </w:r>
      <w:r w:rsidR="000C10AB">
        <w:rPr>
          <w:rFonts w:hAnsi="Times New Roman" w:cs="Times New Roman"/>
          <w:color w:val="auto"/>
          <w:shd w:val="clear" w:color="auto" w:fill="FFFFFF"/>
        </w:rPr>
        <w:t>region</w:t>
      </w:r>
      <w:r w:rsidR="00653669" w:rsidRPr="00AB3561">
        <w:rPr>
          <w:rFonts w:hAnsi="Times New Roman" w:cs="Times New Roman"/>
          <w:color w:val="auto"/>
          <w:shd w:val="clear" w:color="auto" w:fill="FFFFFF"/>
        </w:rPr>
        <w:t>.</w:t>
      </w:r>
      <w:r w:rsidR="00751B28" w:rsidRPr="00751B28">
        <w:rPr>
          <w:rFonts w:eastAsia="Times New Roman" w:hAnsi="Times New Roman" w:cs="Times New Roman"/>
          <w:bCs/>
          <w:color w:val="auto"/>
          <w:sz w:val="20"/>
          <w:szCs w:val="20"/>
          <w:bdr w:val="none" w:sz="0" w:space="0" w:color="auto"/>
          <w:lang w:bidi="he-IL"/>
        </w:rPr>
        <w:t xml:space="preserve"> </w:t>
      </w:r>
    </w:p>
    <w:p w14:paraId="5B39C8CB" w14:textId="77777777" w:rsidR="009A132C" w:rsidRDefault="009A132C" w:rsidP="00771685">
      <w:pPr>
        <w:ind w:firstLine="720"/>
        <w:rPr>
          <w:rFonts w:eastAsia="Times New Roman" w:hAnsi="Times New Roman" w:cs="Times New Roman"/>
          <w:bCs/>
          <w:color w:val="auto"/>
          <w:sz w:val="20"/>
          <w:szCs w:val="20"/>
          <w:bdr w:val="none" w:sz="0" w:space="0" w:color="auto"/>
          <w:lang w:bidi="he-IL"/>
        </w:rPr>
      </w:pPr>
    </w:p>
    <w:bookmarkEnd w:id="24"/>
    <w:p w14:paraId="0C79D790" w14:textId="77777777" w:rsidR="007F1F19" w:rsidRPr="00DD1543" w:rsidRDefault="007F1F19">
      <w:pPr>
        <w:ind w:firstLine="720"/>
        <w:rPr>
          <w:rFonts w:hAnsi="Times New Roman" w:cs="Times New Roman"/>
          <w:color w:val="auto"/>
        </w:rPr>
      </w:pPr>
    </w:p>
    <w:p w14:paraId="394F63EA" w14:textId="77777777" w:rsidR="007F1F19" w:rsidRPr="00DD1543" w:rsidRDefault="002318AA">
      <w:pPr>
        <w:pStyle w:val="Heading1"/>
        <w:jc w:val="both"/>
        <w:rPr>
          <w:color w:val="auto"/>
        </w:rPr>
      </w:pPr>
      <w:bookmarkStart w:id="25" w:name="_Toc399167398"/>
      <w:r w:rsidRPr="00DD1543">
        <w:rPr>
          <w:color w:val="auto"/>
        </w:rPr>
        <w:t>II. Dimensions of Knowledge: The Detrimental Layered Effects of Cognitive Property</w:t>
      </w:r>
      <w:bookmarkEnd w:id="25"/>
    </w:p>
    <w:p w14:paraId="35B8CF1E" w14:textId="77777777" w:rsidR="007F1F19" w:rsidRPr="00DD1543" w:rsidRDefault="007F1F19">
      <w:pPr>
        <w:ind w:firstLine="720"/>
        <w:rPr>
          <w:rFonts w:hAnsi="Times New Roman" w:cs="Times New Roman"/>
          <w:color w:val="auto"/>
        </w:rPr>
      </w:pPr>
    </w:p>
    <w:p w14:paraId="0DEE73D7" w14:textId="77777777" w:rsidR="00C03509" w:rsidRDefault="00CC3361" w:rsidP="00CC3361">
      <w:pPr>
        <w:ind w:firstLine="0"/>
        <w:rPr>
          <w:rFonts w:hAnsi="Times New Roman" w:cs="Times New Roman"/>
          <w:color w:val="auto"/>
        </w:rPr>
      </w:pPr>
      <w:r>
        <w:rPr>
          <w:rFonts w:hAnsi="Times New Roman" w:cs="Times New Roman"/>
          <w:color w:val="auto"/>
        </w:rPr>
        <w:tab/>
      </w:r>
      <w:r w:rsidR="002318AA" w:rsidRPr="00DD1543">
        <w:rPr>
          <w:rFonts w:hAnsi="Times New Roman" w:cs="Times New Roman"/>
          <w:color w:val="auto"/>
        </w:rPr>
        <w:t xml:space="preserve">The effects of </w:t>
      </w:r>
      <w:r w:rsidR="00E934DC">
        <w:rPr>
          <w:rFonts w:hAnsi="Times New Roman" w:cs="Times New Roman"/>
          <w:color w:val="auto"/>
        </w:rPr>
        <w:t>contemporary</w:t>
      </w:r>
      <w:r w:rsidR="002318AA" w:rsidRPr="00DD1543">
        <w:rPr>
          <w:rFonts w:hAnsi="Times New Roman" w:cs="Times New Roman"/>
          <w:color w:val="auto"/>
        </w:rPr>
        <w:t xml:space="preserve"> human capital</w:t>
      </w:r>
      <w:r w:rsidR="00E934DC">
        <w:rPr>
          <w:rFonts w:hAnsi="Times New Roman" w:cs="Times New Roman"/>
          <w:color w:val="auto"/>
        </w:rPr>
        <w:t xml:space="preserve"> law</w:t>
      </w:r>
      <w:r w:rsidR="002318AA" w:rsidRPr="00DD1543">
        <w:rPr>
          <w:rFonts w:hAnsi="Times New Roman" w:cs="Times New Roman"/>
          <w:color w:val="auto"/>
        </w:rPr>
        <w:t>,</w:t>
      </w:r>
      <w:r w:rsidR="00E934DC">
        <w:rPr>
          <w:rFonts w:hAnsi="Times New Roman" w:cs="Times New Roman"/>
          <w:color w:val="auto"/>
        </w:rPr>
        <w:t xml:space="preserve"> </w:t>
      </w:r>
      <w:r w:rsidR="00215B47">
        <w:rPr>
          <w:rFonts w:hAnsi="Times New Roman" w:cs="Times New Roman"/>
          <w:color w:val="auto"/>
        </w:rPr>
        <w:t xml:space="preserve">creating </w:t>
      </w:r>
      <w:r w:rsidR="00E934DC">
        <w:rPr>
          <w:rFonts w:hAnsi="Times New Roman" w:cs="Times New Roman"/>
          <w:color w:val="auto"/>
        </w:rPr>
        <w:t xml:space="preserve">an </w:t>
      </w:r>
      <w:r w:rsidR="0072160B">
        <w:rPr>
          <w:rFonts w:hAnsi="Times New Roman" w:cs="Times New Roman"/>
          <w:color w:val="auto"/>
        </w:rPr>
        <w:t>ever-expanding</w:t>
      </w:r>
      <w:r w:rsidR="00E934DC">
        <w:rPr>
          <w:rFonts w:hAnsi="Times New Roman" w:cs="Times New Roman"/>
          <w:color w:val="auto"/>
        </w:rPr>
        <w:t xml:space="preserve"> realm of </w:t>
      </w:r>
      <w:r w:rsidR="002318AA" w:rsidRPr="00DD1543">
        <w:rPr>
          <w:rFonts w:hAnsi="Times New Roman" w:cs="Times New Roman"/>
          <w:color w:val="auto"/>
        </w:rPr>
        <w:t>cognitive property</w:t>
      </w:r>
      <w:r w:rsidR="00E934DC">
        <w:rPr>
          <w:rFonts w:hAnsi="Times New Roman" w:cs="Times New Roman"/>
          <w:color w:val="auto"/>
        </w:rPr>
        <w:t>,</w:t>
      </w:r>
      <w:r w:rsidR="002318AA" w:rsidRPr="00DD1543">
        <w:rPr>
          <w:rFonts w:hAnsi="Times New Roman" w:cs="Times New Roman"/>
          <w:color w:val="auto"/>
        </w:rPr>
        <w:t xml:space="preserve"> </w:t>
      </w:r>
      <w:r w:rsidR="00215B47">
        <w:rPr>
          <w:rFonts w:hAnsi="Times New Roman" w:cs="Times New Roman"/>
          <w:color w:val="auto"/>
        </w:rPr>
        <w:t>should</w:t>
      </w:r>
      <w:r w:rsidR="002318AA" w:rsidRPr="00DD1543">
        <w:rPr>
          <w:rFonts w:hAnsi="Times New Roman" w:cs="Times New Roman"/>
          <w:color w:val="auto"/>
        </w:rPr>
        <w:t xml:space="preserve"> be understood in relation to the multiple dimensions of human knowledge. In 1675, Sir Isaac Newton wrote in a letter to his rival Robert Hook, “If I have seen further (than you and Descartes) it is by standing upon the shoulders of Giants.”</w:t>
      </w:r>
      <w:r w:rsidR="00215B47">
        <w:rPr>
          <w:rStyle w:val="FootnoteReference"/>
          <w:rFonts w:hAnsi="Times New Roman" w:cs="Times New Roman"/>
          <w:color w:val="auto"/>
        </w:rPr>
        <w:footnoteReference w:id="163"/>
      </w:r>
      <w:r w:rsidR="00E934DC">
        <w:rPr>
          <w:rFonts w:hAnsi="Times New Roman" w:cs="Times New Roman"/>
          <w:color w:val="auto"/>
        </w:rPr>
        <w:t xml:space="preserve"> Every great innovator</w:t>
      </w:r>
      <w:r w:rsidR="00D938B3">
        <w:rPr>
          <w:rFonts w:hAnsi="Times New Roman" w:cs="Times New Roman"/>
          <w:color w:val="auto"/>
        </w:rPr>
        <w:t xml:space="preserve"> – artist, engineer, scientist, and author </w:t>
      </w:r>
      <w:r w:rsidR="00BE3801">
        <w:rPr>
          <w:rFonts w:hAnsi="Times New Roman" w:cs="Times New Roman"/>
          <w:color w:val="auto"/>
        </w:rPr>
        <w:t xml:space="preserve">– </w:t>
      </w:r>
      <w:r w:rsidR="00E934DC">
        <w:rPr>
          <w:rFonts w:hAnsi="Times New Roman" w:cs="Times New Roman"/>
          <w:color w:val="auto"/>
        </w:rPr>
        <w:t xml:space="preserve">in history stood upon the shoulders of giants and it is inherently the nature of knowledge to fertilize more knowledge. Stripping individuals </w:t>
      </w:r>
      <w:r w:rsidR="003D0E3F">
        <w:rPr>
          <w:rFonts w:hAnsi="Times New Roman" w:cs="Times New Roman"/>
          <w:color w:val="auto"/>
        </w:rPr>
        <w:t xml:space="preserve">of </w:t>
      </w:r>
      <w:r w:rsidR="00E934DC">
        <w:rPr>
          <w:rFonts w:hAnsi="Times New Roman" w:cs="Times New Roman"/>
          <w:color w:val="auto"/>
        </w:rPr>
        <w:t>the wealth of knowledge and experience they carry</w:t>
      </w:r>
      <w:r w:rsidR="00D151BE">
        <w:rPr>
          <w:rFonts w:hAnsi="Times New Roman" w:cs="Times New Roman"/>
          <w:color w:val="auto"/>
        </w:rPr>
        <w:t xml:space="preserve"> has detrimental effects on innovation, market competition, and economic growth</w:t>
      </w:r>
      <w:r w:rsidR="00E934DC">
        <w:rPr>
          <w:rFonts w:hAnsi="Times New Roman" w:cs="Times New Roman"/>
          <w:color w:val="auto"/>
        </w:rPr>
        <w:t xml:space="preserve">. While </w:t>
      </w:r>
      <w:r w:rsidR="00D151BE">
        <w:rPr>
          <w:rFonts w:hAnsi="Times New Roman" w:cs="Times New Roman"/>
          <w:color w:val="auto"/>
        </w:rPr>
        <w:t xml:space="preserve">some of </w:t>
      </w:r>
      <w:r w:rsidR="00E934DC">
        <w:rPr>
          <w:rFonts w:hAnsi="Times New Roman" w:cs="Times New Roman"/>
          <w:color w:val="auto"/>
        </w:rPr>
        <w:t>these understandings are intuitive, n</w:t>
      </w:r>
      <w:r w:rsidR="002318AA" w:rsidRPr="00DD1543">
        <w:rPr>
          <w:rFonts w:hAnsi="Times New Roman" w:cs="Times New Roman"/>
          <w:color w:val="auto"/>
        </w:rPr>
        <w:t xml:space="preserve">ew field and experimental research about </w:t>
      </w:r>
      <w:r w:rsidR="00D938B3">
        <w:rPr>
          <w:rFonts w:hAnsi="Times New Roman" w:cs="Times New Roman"/>
          <w:color w:val="auto"/>
        </w:rPr>
        <w:t>knowledge</w:t>
      </w:r>
      <w:r w:rsidR="002318AA" w:rsidRPr="00DD1543">
        <w:rPr>
          <w:rFonts w:hAnsi="Times New Roman" w:cs="Times New Roman"/>
          <w:color w:val="auto"/>
        </w:rPr>
        <w:t xml:space="preserve"> flows and </w:t>
      </w:r>
      <w:r w:rsidR="00D938B3">
        <w:rPr>
          <w:rFonts w:hAnsi="Times New Roman" w:cs="Times New Roman"/>
          <w:color w:val="auto"/>
        </w:rPr>
        <w:t>job mobility</w:t>
      </w:r>
      <w:r w:rsidR="002318AA" w:rsidRPr="00DD1543">
        <w:rPr>
          <w:rFonts w:hAnsi="Times New Roman" w:cs="Times New Roman"/>
          <w:color w:val="auto"/>
        </w:rPr>
        <w:t xml:space="preserve">, enriched by contemporary </w:t>
      </w:r>
      <w:r w:rsidR="00D938B3">
        <w:rPr>
          <w:rFonts w:hAnsi="Times New Roman" w:cs="Times New Roman"/>
          <w:color w:val="auto"/>
        </w:rPr>
        <w:t>economic</w:t>
      </w:r>
      <w:r w:rsidR="002318AA" w:rsidRPr="00DD1543">
        <w:rPr>
          <w:rFonts w:hAnsi="Times New Roman" w:cs="Times New Roman"/>
          <w:color w:val="auto"/>
        </w:rPr>
        <w:t xml:space="preserve"> analysis</w:t>
      </w:r>
      <w:r w:rsidR="00215B47">
        <w:rPr>
          <w:rFonts w:hAnsi="Times New Roman" w:cs="Times New Roman"/>
          <w:color w:val="auto"/>
        </w:rPr>
        <w:t xml:space="preserve"> of innovation policy</w:t>
      </w:r>
      <w:r w:rsidR="002318AA" w:rsidRPr="00DD1543">
        <w:rPr>
          <w:rFonts w:hAnsi="Times New Roman" w:cs="Times New Roman"/>
          <w:color w:val="auto"/>
        </w:rPr>
        <w:t>, presents a</w:t>
      </w:r>
      <w:r w:rsidR="00E934DC">
        <w:rPr>
          <w:rFonts w:hAnsi="Times New Roman" w:cs="Times New Roman"/>
          <w:color w:val="auto"/>
        </w:rPr>
        <w:t xml:space="preserve"> </w:t>
      </w:r>
      <w:r w:rsidR="002318AA" w:rsidRPr="00DD1543">
        <w:rPr>
          <w:rFonts w:hAnsi="Times New Roman" w:cs="Times New Roman"/>
          <w:color w:val="auto"/>
        </w:rPr>
        <w:t xml:space="preserve">clearer understanding </w:t>
      </w:r>
      <w:r w:rsidR="006A4107">
        <w:rPr>
          <w:rFonts w:hAnsi="Times New Roman" w:cs="Times New Roman"/>
          <w:color w:val="auto"/>
        </w:rPr>
        <w:t xml:space="preserve">of the new cognitive property and its </w:t>
      </w:r>
      <w:r w:rsidR="000E3169">
        <w:rPr>
          <w:rFonts w:hAnsi="Times New Roman" w:cs="Times New Roman"/>
          <w:color w:val="auto"/>
        </w:rPr>
        <w:t>detrimental effects</w:t>
      </w:r>
      <w:r w:rsidR="0064370F">
        <w:rPr>
          <w:rFonts w:hAnsi="Times New Roman" w:cs="Times New Roman"/>
          <w:color w:val="auto"/>
        </w:rPr>
        <w:t xml:space="preserve">. </w:t>
      </w:r>
      <w:r w:rsidR="000E3169">
        <w:rPr>
          <w:rFonts w:hAnsi="Times New Roman" w:cs="Times New Roman"/>
          <w:color w:val="auto"/>
        </w:rPr>
        <w:t>The</w:t>
      </w:r>
      <w:r w:rsidR="00D938B3">
        <w:rPr>
          <w:rFonts w:hAnsi="Times New Roman" w:cs="Times New Roman"/>
          <w:color w:val="auto"/>
        </w:rPr>
        <w:t xml:space="preserve"> </w:t>
      </w:r>
      <w:r w:rsidR="000E3169">
        <w:rPr>
          <w:rFonts w:hAnsi="Times New Roman" w:cs="Times New Roman"/>
          <w:color w:val="auto"/>
        </w:rPr>
        <w:t>harms</w:t>
      </w:r>
      <w:r w:rsidR="0064370F">
        <w:rPr>
          <w:rFonts w:hAnsi="Times New Roman" w:cs="Times New Roman"/>
          <w:color w:val="auto"/>
        </w:rPr>
        <w:t xml:space="preserve"> include</w:t>
      </w:r>
      <w:r w:rsidR="006A4107">
        <w:rPr>
          <w:rFonts w:hAnsi="Times New Roman" w:cs="Times New Roman"/>
          <w:color w:val="auto"/>
        </w:rPr>
        <w:t xml:space="preserve"> </w:t>
      </w:r>
      <w:r w:rsidR="000E3169">
        <w:rPr>
          <w:rFonts w:hAnsi="Times New Roman" w:cs="Times New Roman"/>
          <w:color w:val="auto"/>
        </w:rPr>
        <w:t>the prevention of</w:t>
      </w:r>
      <w:r w:rsidR="002318AA" w:rsidRPr="00DD1543">
        <w:rPr>
          <w:rFonts w:hAnsi="Times New Roman" w:cs="Times New Roman"/>
          <w:color w:val="auto"/>
        </w:rPr>
        <w:t xml:space="preserve"> talented individuals from standing upon the shoulders of giants, sharing knowledge, and making use of their human capital. </w:t>
      </w:r>
      <w:r w:rsidR="00D938B3">
        <w:rPr>
          <w:rFonts w:hAnsi="Times New Roman" w:cs="Times New Roman"/>
          <w:color w:val="auto"/>
        </w:rPr>
        <w:t xml:space="preserve">In turn, as the research shows, such restrictions </w:t>
      </w:r>
      <w:r w:rsidR="000E3169">
        <w:rPr>
          <w:rFonts w:hAnsi="Times New Roman" w:cs="Times New Roman"/>
          <w:color w:val="auto"/>
        </w:rPr>
        <w:t>stymie</w:t>
      </w:r>
      <w:r w:rsidR="00D938B3">
        <w:rPr>
          <w:rFonts w:hAnsi="Times New Roman" w:cs="Times New Roman"/>
          <w:color w:val="auto"/>
        </w:rPr>
        <w:t xml:space="preserve"> industry </w:t>
      </w:r>
      <w:r w:rsidR="000E3169">
        <w:rPr>
          <w:rFonts w:hAnsi="Times New Roman" w:cs="Times New Roman"/>
          <w:color w:val="auto"/>
        </w:rPr>
        <w:t xml:space="preserve">innovation </w:t>
      </w:r>
      <w:r w:rsidR="00D938B3">
        <w:rPr>
          <w:rFonts w:hAnsi="Times New Roman" w:cs="Times New Roman"/>
          <w:color w:val="auto"/>
        </w:rPr>
        <w:t xml:space="preserve">and </w:t>
      </w:r>
      <w:r w:rsidR="000E3169">
        <w:rPr>
          <w:rFonts w:hAnsi="Times New Roman" w:cs="Times New Roman"/>
          <w:color w:val="auto"/>
        </w:rPr>
        <w:t>economic growth</w:t>
      </w:r>
      <w:r w:rsidR="00D938B3">
        <w:rPr>
          <w:rFonts w:hAnsi="Times New Roman" w:cs="Times New Roman"/>
          <w:color w:val="auto"/>
        </w:rPr>
        <w:t xml:space="preserve">. </w:t>
      </w:r>
    </w:p>
    <w:p w14:paraId="0FDEAC97" w14:textId="77777777" w:rsidR="00C03509" w:rsidRDefault="00C03509" w:rsidP="003552A6">
      <w:pPr>
        <w:rPr>
          <w:rFonts w:hAnsi="Times New Roman" w:cs="Times New Roman"/>
          <w:color w:val="auto"/>
        </w:rPr>
      </w:pPr>
    </w:p>
    <w:p w14:paraId="6C8FDA25" w14:textId="77777777" w:rsidR="00811009" w:rsidRDefault="002318AA" w:rsidP="003552A6">
      <w:pPr>
        <w:rPr>
          <w:rFonts w:hAnsi="Times New Roman" w:cs="Times New Roman"/>
          <w:color w:val="auto"/>
        </w:rPr>
      </w:pPr>
      <w:r w:rsidRPr="00DD1543">
        <w:rPr>
          <w:rFonts w:hAnsi="Times New Roman" w:cs="Times New Roman"/>
          <w:color w:val="auto"/>
        </w:rPr>
        <w:t>The following subsections unpack these concerns by developing a novel taxonomy of the multiple facets of knowledge</w:t>
      </w:r>
      <w:r w:rsidR="007C6144">
        <w:rPr>
          <w:rFonts w:hAnsi="Times New Roman" w:cs="Times New Roman"/>
          <w:color w:val="auto"/>
        </w:rPr>
        <w:t>,</w:t>
      </w:r>
      <w:r w:rsidRPr="00DD1543">
        <w:rPr>
          <w:rFonts w:hAnsi="Times New Roman" w:cs="Times New Roman"/>
          <w:color w:val="auto"/>
        </w:rPr>
        <w:t xml:space="preserve"> as it inhabits </w:t>
      </w:r>
      <w:r w:rsidR="00D151BE">
        <w:rPr>
          <w:rFonts w:hAnsi="Times New Roman" w:cs="Times New Roman"/>
          <w:color w:val="auto"/>
        </w:rPr>
        <w:t>contemporary talent</w:t>
      </w:r>
      <w:r w:rsidRPr="00DD1543">
        <w:rPr>
          <w:rFonts w:hAnsi="Times New Roman" w:cs="Times New Roman"/>
          <w:color w:val="auto"/>
        </w:rPr>
        <w:t xml:space="preserve"> pools. </w:t>
      </w:r>
      <w:r w:rsidR="009C2921">
        <w:rPr>
          <w:rFonts w:hAnsi="Times New Roman" w:cs="Times New Roman"/>
          <w:color w:val="auto"/>
        </w:rPr>
        <w:t>T</w:t>
      </w:r>
      <w:r w:rsidR="004C6039" w:rsidRPr="004C6039">
        <w:rPr>
          <w:rFonts w:hAnsi="Times New Roman" w:cs="Times New Roman"/>
          <w:color w:val="auto"/>
        </w:rPr>
        <w:t xml:space="preserve">o fully understand the effects of the new </w:t>
      </w:r>
      <w:r w:rsidRPr="004C6039">
        <w:rPr>
          <w:rFonts w:hAnsi="Times New Roman" w:cs="Times New Roman"/>
          <w:color w:val="auto"/>
        </w:rPr>
        <w:t xml:space="preserve">cognitive </w:t>
      </w:r>
      <w:r w:rsidR="004C6039" w:rsidRPr="004C6039">
        <w:rPr>
          <w:rFonts w:hAnsi="Times New Roman" w:cs="Times New Roman"/>
          <w:color w:val="auto"/>
        </w:rPr>
        <w:t>property</w:t>
      </w:r>
      <w:r w:rsidRPr="004C6039">
        <w:rPr>
          <w:rFonts w:hAnsi="Times New Roman" w:cs="Times New Roman"/>
          <w:color w:val="auto"/>
        </w:rPr>
        <w:t>,</w:t>
      </w:r>
      <w:r w:rsidR="004C6039" w:rsidRPr="004C6039">
        <w:rPr>
          <w:rFonts w:hAnsi="Times New Roman" w:cs="Times New Roman"/>
          <w:color w:val="auto"/>
        </w:rPr>
        <w:t xml:space="preserve"> we need to investigate the</w:t>
      </w:r>
      <w:r w:rsidRPr="004C6039">
        <w:rPr>
          <w:rFonts w:hAnsi="Times New Roman" w:cs="Times New Roman"/>
          <w:color w:val="auto"/>
        </w:rPr>
        <w:t xml:space="preserve"> core building blocks of human knowledge and the stepping-stones of innovation and progress. </w:t>
      </w:r>
      <w:r w:rsidR="007B7F9D">
        <w:rPr>
          <w:rFonts w:hAnsi="Times New Roman" w:cs="Times New Roman"/>
          <w:color w:val="auto"/>
        </w:rPr>
        <w:t xml:space="preserve">Human capital is the stock of knowledge in </w:t>
      </w:r>
      <w:r w:rsidR="007414D2">
        <w:rPr>
          <w:rFonts w:hAnsi="Times New Roman" w:cs="Times New Roman"/>
          <w:color w:val="auto"/>
        </w:rPr>
        <w:t xml:space="preserve">all </w:t>
      </w:r>
      <w:r w:rsidR="007B7F9D">
        <w:rPr>
          <w:rFonts w:hAnsi="Times New Roman" w:cs="Times New Roman"/>
          <w:color w:val="auto"/>
        </w:rPr>
        <w:t>its multiple forms</w:t>
      </w:r>
      <w:r w:rsidR="00224F9B">
        <w:rPr>
          <w:rFonts w:hAnsi="Times New Roman" w:cs="Times New Roman"/>
          <w:color w:val="auto"/>
        </w:rPr>
        <w:t xml:space="preserve"> </w:t>
      </w:r>
      <w:r w:rsidR="00B0633A">
        <w:rPr>
          <w:rFonts w:hAnsi="Times New Roman" w:cs="Times New Roman"/>
          <w:color w:val="auto"/>
        </w:rPr>
        <w:t xml:space="preserve">that </w:t>
      </w:r>
      <w:r w:rsidR="007414D2">
        <w:rPr>
          <w:rFonts w:hAnsi="Times New Roman" w:cs="Times New Roman"/>
          <w:color w:val="auto"/>
        </w:rPr>
        <w:t>contribute</w:t>
      </w:r>
      <w:r w:rsidR="00B0633A">
        <w:rPr>
          <w:rFonts w:hAnsi="Times New Roman" w:cs="Times New Roman"/>
          <w:color w:val="auto"/>
        </w:rPr>
        <w:t>s</w:t>
      </w:r>
      <w:r w:rsidR="007414D2">
        <w:rPr>
          <w:rFonts w:hAnsi="Times New Roman" w:cs="Times New Roman"/>
          <w:color w:val="auto"/>
        </w:rPr>
        <w:t xml:space="preserve"> to productive work</w:t>
      </w:r>
      <w:r w:rsidR="006D1903">
        <w:rPr>
          <w:rFonts w:hAnsi="Times New Roman" w:cs="Times New Roman"/>
          <w:color w:val="auto"/>
        </w:rPr>
        <w:t xml:space="preserve">, including </w:t>
      </w:r>
      <w:r w:rsidR="00B93BA1">
        <w:rPr>
          <w:rFonts w:hAnsi="Times New Roman" w:cs="Times New Roman"/>
          <w:color w:val="auto"/>
        </w:rPr>
        <w:t xml:space="preserve">knowledge that is </w:t>
      </w:r>
      <w:r w:rsidR="006D1903">
        <w:rPr>
          <w:rFonts w:hAnsi="Times New Roman" w:cs="Times New Roman"/>
          <w:color w:val="auto"/>
        </w:rPr>
        <w:t>non-codifiable</w:t>
      </w:r>
      <w:r w:rsidR="00B93BA1">
        <w:rPr>
          <w:rFonts w:hAnsi="Times New Roman" w:cs="Times New Roman"/>
          <w:color w:val="auto"/>
        </w:rPr>
        <w:t>, knowledge that expresses itself in skills and know-how, in</w:t>
      </w:r>
      <w:r w:rsidR="006D1903">
        <w:rPr>
          <w:rFonts w:hAnsi="Times New Roman" w:cs="Times New Roman"/>
          <w:color w:val="auto"/>
        </w:rPr>
        <w:t xml:space="preserve"> relation</w:t>
      </w:r>
      <w:r w:rsidR="00B93BA1">
        <w:rPr>
          <w:rFonts w:hAnsi="Times New Roman" w:cs="Times New Roman"/>
          <w:color w:val="auto"/>
        </w:rPr>
        <w:t>ships and netw</w:t>
      </w:r>
      <w:r w:rsidR="006D1903">
        <w:rPr>
          <w:rFonts w:hAnsi="Times New Roman" w:cs="Times New Roman"/>
          <w:color w:val="auto"/>
        </w:rPr>
        <w:t>ork</w:t>
      </w:r>
      <w:r w:rsidR="00B93BA1">
        <w:rPr>
          <w:rFonts w:hAnsi="Times New Roman" w:cs="Times New Roman"/>
          <w:color w:val="auto"/>
        </w:rPr>
        <w:t xml:space="preserve">, in creativity and motivation, and in the ability to disrupt and energize. </w:t>
      </w:r>
    </w:p>
    <w:p w14:paraId="65B0AD9B" w14:textId="77777777" w:rsidR="00811009" w:rsidRDefault="00811009" w:rsidP="00B93BA1">
      <w:pPr>
        <w:ind w:firstLine="720"/>
        <w:rPr>
          <w:rFonts w:hAnsi="Times New Roman" w:cs="Times New Roman"/>
          <w:color w:val="auto"/>
        </w:rPr>
      </w:pPr>
    </w:p>
    <w:p w14:paraId="4601105D" w14:textId="77777777" w:rsidR="00811009" w:rsidRDefault="00811009" w:rsidP="00FB41FF">
      <w:pPr>
        <w:pStyle w:val="Heading2"/>
      </w:pPr>
      <w:bookmarkStart w:id="26" w:name="_Toc399167399"/>
      <w:r>
        <w:t>A. Tacit Knowledge</w:t>
      </w:r>
      <w:bookmarkEnd w:id="26"/>
    </w:p>
    <w:p w14:paraId="31DD9FB2" w14:textId="77777777" w:rsidR="00811009" w:rsidRPr="004C6039" w:rsidRDefault="00811009">
      <w:pPr>
        <w:ind w:firstLine="720"/>
        <w:rPr>
          <w:rFonts w:hAnsi="Times New Roman" w:cs="Times New Roman"/>
          <w:color w:val="auto"/>
        </w:rPr>
      </w:pPr>
    </w:p>
    <w:p w14:paraId="1E443653" w14:textId="77777777" w:rsidR="00CC67EB" w:rsidRDefault="00941BD1">
      <w:pPr>
        <w:ind w:firstLine="720"/>
        <w:rPr>
          <w:rFonts w:hAnsi="Times New Roman" w:cs="Times New Roman"/>
          <w:color w:val="auto"/>
        </w:rPr>
      </w:pPr>
      <w:r w:rsidRPr="00DD1543">
        <w:rPr>
          <w:rFonts w:hAnsi="Times New Roman" w:cs="Times New Roman"/>
          <w:color w:val="auto"/>
        </w:rPr>
        <w:t>The new cognitive property should be understood as an attempt to capture not only codifi</w:t>
      </w:r>
      <w:r>
        <w:rPr>
          <w:rFonts w:hAnsi="Times New Roman" w:cs="Times New Roman"/>
          <w:color w:val="auto"/>
        </w:rPr>
        <w:t>able,</w:t>
      </w:r>
      <w:r w:rsidRPr="00DD1543">
        <w:rPr>
          <w:rFonts w:hAnsi="Times New Roman" w:cs="Times New Roman"/>
          <w:color w:val="auto"/>
        </w:rPr>
        <w:t xml:space="preserve"> but also non-codifiable knowledge</w:t>
      </w:r>
      <w:r>
        <w:rPr>
          <w:rFonts w:hAnsi="Times New Roman" w:cs="Times New Roman"/>
          <w:color w:val="auto"/>
        </w:rPr>
        <w:t>, precisely the type of knowledge that intellectual property law leaves in the public domain</w:t>
      </w:r>
      <w:r w:rsidRPr="00DD1543">
        <w:rPr>
          <w:rFonts w:hAnsi="Times New Roman" w:cs="Times New Roman"/>
          <w:color w:val="auto"/>
        </w:rPr>
        <w:t xml:space="preserve">. </w:t>
      </w:r>
      <w:r>
        <w:rPr>
          <w:rFonts w:hAnsi="Times New Roman" w:cs="Times New Roman"/>
          <w:color w:val="auto"/>
        </w:rPr>
        <w:t>Nobel laureate Elinor Ostrom counseled</w:t>
      </w:r>
      <w:r w:rsidR="00E53A35">
        <w:rPr>
          <w:rFonts w:hAnsi="Times New Roman" w:cs="Times New Roman"/>
          <w:color w:val="auto"/>
        </w:rPr>
        <w:t>,</w:t>
      </w:r>
      <w:r>
        <w:rPr>
          <w:rFonts w:hAnsi="Times New Roman" w:cs="Times New Roman"/>
          <w:color w:val="auto"/>
        </w:rPr>
        <w:t xml:space="preserve"> </w:t>
      </w:r>
      <w:r w:rsidRPr="00DD1543">
        <w:rPr>
          <w:rFonts w:hAnsi="Times New Roman" w:cs="Times New Roman"/>
          <w:color w:val="auto"/>
        </w:rPr>
        <w:t>“</w:t>
      </w:r>
      <w:r w:rsidR="002465F2">
        <w:rPr>
          <w:rFonts w:hAnsi="Times New Roman" w:cs="Times New Roman"/>
          <w:color w:val="auto"/>
        </w:rPr>
        <w:t>a</w:t>
      </w:r>
      <w:r w:rsidRPr="00DD1543">
        <w:rPr>
          <w:rFonts w:hAnsi="Times New Roman" w:cs="Times New Roman"/>
          <w:color w:val="auto"/>
        </w:rPr>
        <w:t>n infinite amount of knowledge is waiting to be unearthed. The discovery of future knowledge is a common good and a treasure we owe to future generations. The challenge of today’s generation is to keep the pathways to discovery open.”</w:t>
      </w:r>
      <w:r w:rsidRPr="00DD1543">
        <w:rPr>
          <w:rFonts w:hAnsi="Times New Roman" w:cs="Times New Roman"/>
          <w:color w:val="auto"/>
          <w:vertAlign w:val="superscript"/>
        </w:rPr>
        <w:footnoteReference w:id="164"/>
      </w:r>
      <w:r w:rsidRPr="00DD1543">
        <w:rPr>
          <w:rFonts w:hAnsi="Times New Roman" w:cs="Times New Roman"/>
          <w:color w:val="auto"/>
        </w:rPr>
        <w:t xml:space="preserve"> Knowledge, however, is not merely a good to be unearthed</w:t>
      </w:r>
      <w:r>
        <w:rPr>
          <w:rFonts w:hAnsi="Times New Roman" w:cs="Times New Roman"/>
          <w:color w:val="auto"/>
        </w:rPr>
        <w:t xml:space="preserve">, </w:t>
      </w:r>
      <w:r w:rsidRPr="00DD1543">
        <w:rPr>
          <w:rFonts w:hAnsi="Times New Roman" w:cs="Times New Roman"/>
          <w:color w:val="auto"/>
        </w:rPr>
        <w:t xml:space="preserve">traded, and then bequeathed as “a treasure” to future generations. In its </w:t>
      </w:r>
      <w:r>
        <w:rPr>
          <w:rFonts w:hAnsi="Times New Roman" w:cs="Times New Roman"/>
          <w:color w:val="auto"/>
        </w:rPr>
        <w:t>full breadth</w:t>
      </w:r>
      <w:r w:rsidRPr="00DD1543">
        <w:rPr>
          <w:rFonts w:hAnsi="Times New Roman" w:cs="Times New Roman"/>
          <w:color w:val="auto"/>
        </w:rPr>
        <w:t>, knowledge cannot be captured by merely considering codified information</w:t>
      </w:r>
      <w:r w:rsidR="000A5B1B">
        <w:rPr>
          <w:rFonts w:hAnsi="Times New Roman" w:cs="Times New Roman"/>
          <w:color w:val="auto"/>
        </w:rPr>
        <w:t>;</w:t>
      </w:r>
      <w:r w:rsidRPr="00DD1543">
        <w:rPr>
          <w:rFonts w:hAnsi="Times New Roman" w:cs="Times New Roman"/>
          <w:color w:val="auto"/>
        </w:rPr>
        <w:t xml:space="preserve"> the kind that can be embedded in intellectual property. Knowledge is also the human skills, communications, and know-how that exist within</w:t>
      </w:r>
      <w:r>
        <w:rPr>
          <w:rFonts w:hAnsi="Times New Roman" w:cs="Times New Roman"/>
          <w:color w:val="auto"/>
        </w:rPr>
        <w:t xml:space="preserve"> and between</w:t>
      </w:r>
      <w:r w:rsidRPr="00DD1543">
        <w:rPr>
          <w:rFonts w:hAnsi="Times New Roman" w:cs="Times New Roman"/>
          <w:color w:val="auto"/>
        </w:rPr>
        <w:t xml:space="preserve"> people. A useful way to understand the complexity of knowledge and its relation to human capital is that knowledge embodies a dual function: it exists as a thing external to the human mind but it is also the foundation of our cognitive systems – to be human is to know. </w:t>
      </w:r>
      <w:r>
        <w:rPr>
          <w:rFonts w:hAnsi="Times New Roman" w:cs="Times New Roman"/>
          <w:color w:val="auto"/>
        </w:rPr>
        <w:t xml:space="preserve">Renowned economist Fritz </w:t>
      </w:r>
      <w:r w:rsidRPr="00DD1543">
        <w:rPr>
          <w:rFonts w:hAnsi="Times New Roman" w:cs="Times New Roman"/>
          <w:color w:val="auto"/>
        </w:rPr>
        <w:t>Machlup identified the distinction between “</w:t>
      </w:r>
      <w:r w:rsidRPr="00DD1543">
        <w:rPr>
          <w:rFonts w:hAnsi="Times New Roman" w:cs="Times New Roman"/>
          <w:i/>
          <w:iCs/>
          <w:color w:val="auto"/>
        </w:rPr>
        <w:t>knowing that</w:t>
      </w:r>
      <w:r w:rsidRPr="00DD1543">
        <w:rPr>
          <w:rFonts w:hAnsi="Times New Roman" w:cs="Times New Roman"/>
          <w:color w:val="auto"/>
        </w:rPr>
        <w:t>” and “</w:t>
      </w:r>
      <w:r w:rsidRPr="00DD1543">
        <w:rPr>
          <w:rFonts w:hAnsi="Times New Roman" w:cs="Times New Roman"/>
          <w:i/>
          <w:iCs/>
          <w:color w:val="auto"/>
        </w:rPr>
        <w:t>knowing how</w:t>
      </w:r>
      <w:r w:rsidRPr="00DD1543">
        <w:rPr>
          <w:rFonts w:hAnsi="Times New Roman" w:cs="Times New Roman"/>
          <w:color w:val="auto"/>
        </w:rPr>
        <w:t xml:space="preserve">,” referring to the latter as </w:t>
      </w:r>
      <w:r w:rsidRPr="00DD1543">
        <w:rPr>
          <w:rFonts w:hAnsi="Times New Roman" w:cs="Times New Roman"/>
          <w:i/>
          <w:iCs/>
          <w:color w:val="auto"/>
        </w:rPr>
        <w:t>brainwork</w:t>
      </w:r>
      <w:r w:rsidRPr="00DD1543">
        <w:rPr>
          <w:rFonts w:hAnsi="Times New Roman" w:cs="Times New Roman"/>
          <w:color w:val="auto"/>
        </w:rPr>
        <w:t>.</w:t>
      </w:r>
      <w:r w:rsidRPr="00DD1543">
        <w:rPr>
          <w:rFonts w:hAnsi="Times New Roman" w:cs="Times New Roman"/>
          <w:color w:val="auto"/>
          <w:vertAlign w:val="superscript"/>
        </w:rPr>
        <w:footnoteReference w:id="165"/>
      </w:r>
      <w:r w:rsidRPr="00DD1543">
        <w:rPr>
          <w:rFonts w:hAnsi="Times New Roman" w:cs="Times New Roman"/>
          <w:color w:val="auto"/>
        </w:rPr>
        <w:t xml:space="preserve"> </w:t>
      </w:r>
      <w:r>
        <w:rPr>
          <w:rFonts w:hAnsi="Times New Roman" w:cs="Times New Roman"/>
          <w:color w:val="auto"/>
        </w:rPr>
        <w:t xml:space="preserve">Karl </w:t>
      </w:r>
      <w:r w:rsidRPr="00DD1543">
        <w:rPr>
          <w:rFonts w:hAnsi="Times New Roman" w:cs="Times New Roman"/>
          <w:color w:val="auto"/>
        </w:rPr>
        <w:t>Polanyi relatedly disting</w:t>
      </w:r>
      <w:r>
        <w:rPr>
          <w:rFonts w:hAnsi="Times New Roman" w:cs="Times New Roman"/>
          <w:color w:val="auto"/>
        </w:rPr>
        <w:t xml:space="preserve">uished between connoisseurship - the art of knowing - and skills - </w:t>
      </w:r>
      <w:r w:rsidRPr="00DD1543">
        <w:rPr>
          <w:rFonts w:hAnsi="Times New Roman" w:cs="Times New Roman"/>
          <w:color w:val="auto"/>
        </w:rPr>
        <w:t>the art of doing.</w:t>
      </w:r>
      <w:bookmarkStart w:id="27" w:name="_Ref266780263"/>
      <w:r w:rsidRPr="00DD1543">
        <w:rPr>
          <w:rFonts w:hAnsi="Times New Roman" w:cs="Times New Roman"/>
          <w:color w:val="auto"/>
          <w:vertAlign w:val="superscript"/>
        </w:rPr>
        <w:footnoteReference w:id="166"/>
      </w:r>
      <w:bookmarkEnd w:id="27"/>
      <w:r w:rsidRPr="00DD1543">
        <w:rPr>
          <w:rFonts w:hAnsi="Times New Roman" w:cs="Times New Roman"/>
          <w:color w:val="auto"/>
        </w:rPr>
        <w:t xml:space="preserve"> In broader terms, spanning beyond any one individual, knowledge is both a resource society possesses and the very essence that constitutes a society.</w:t>
      </w:r>
      <w:r w:rsidRPr="00DD1543">
        <w:rPr>
          <w:rFonts w:hAnsi="Times New Roman" w:cs="Times New Roman"/>
          <w:color w:val="auto"/>
          <w:vertAlign w:val="superscript"/>
        </w:rPr>
        <w:footnoteReference w:id="167"/>
      </w:r>
    </w:p>
    <w:p w14:paraId="39E4CCA5" w14:textId="77777777" w:rsidR="00155389" w:rsidRDefault="00155389" w:rsidP="00607F9A">
      <w:pPr>
        <w:ind w:firstLine="720"/>
        <w:rPr>
          <w:rFonts w:hAnsi="Times New Roman" w:cs="Times New Roman"/>
          <w:color w:val="auto"/>
        </w:rPr>
      </w:pPr>
    </w:p>
    <w:p w14:paraId="198B9C27" w14:textId="4E1EB7A4" w:rsidR="009A2AD4" w:rsidRDefault="00D203BE" w:rsidP="00607F9A">
      <w:pPr>
        <w:ind w:firstLine="720"/>
        <w:rPr>
          <w:rFonts w:hAnsi="Times New Roman" w:cs="Times New Roman"/>
          <w:color w:val="auto"/>
        </w:rPr>
      </w:pPr>
      <w:r>
        <w:rPr>
          <w:rFonts w:hAnsi="Times New Roman" w:cs="Times New Roman"/>
          <w:color w:val="auto"/>
        </w:rPr>
        <w:t>E</w:t>
      </w:r>
      <w:r w:rsidR="002318AA" w:rsidRPr="00DD1543">
        <w:rPr>
          <w:rFonts w:hAnsi="Times New Roman" w:cs="Times New Roman"/>
          <w:color w:val="auto"/>
        </w:rPr>
        <w:t>ven in the information</w:t>
      </w:r>
      <w:r>
        <w:rPr>
          <w:rFonts w:hAnsi="Times New Roman" w:cs="Times New Roman"/>
          <w:color w:val="auto"/>
        </w:rPr>
        <w:t xml:space="preserve"> age</w:t>
      </w:r>
      <w:r w:rsidR="002318AA" w:rsidRPr="00DD1543">
        <w:rPr>
          <w:rFonts w:hAnsi="Times New Roman" w:cs="Times New Roman"/>
          <w:color w:val="auto"/>
        </w:rPr>
        <w:t xml:space="preserve">, when the digital sphere provides abundant access, knowledge exchanges </w:t>
      </w:r>
      <w:r w:rsidR="00CA2F36">
        <w:rPr>
          <w:rFonts w:hAnsi="Times New Roman" w:cs="Times New Roman"/>
          <w:color w:val="auto"/>
        </w:rPr>
        <w:t>still</w:t>
      </w:r>
      <w:r w:rsidR="00DD4A6B">
        <w:rPr>
          <w:rFonts w:hAnsi="Times New Roman" w:cs="Times New Roman"/>
          <w:color w:val="auto"/>
        </w:rPr>
        <w:t xml:space="preserve"> rely on direct human contact</w:t>
      </w:r>
      <w:r w:rsidR="00283710">
        <w:rPr>
          <w:rFonts w:hAnsi="Times New Roman" w:cs="Times New Roman"/>
          <w:color w:val="auto"/>
        </w:rPr>
        <w:t>.</w:t>
      </w:r>
      <w:r w:rsidR="00DD4A6B">
        <w:rPr>
          <w:rStyle w:val="FootnoteReference"/>
        </w:rPr>
        <w:footnoteReference w:id="168"/>
      </w:r>
      <w:r w:rsidR="00224F9B">
        <w:rPr>
          <w:rFonts w:hAnsi="Times New Roman" w:cs="Times New Roman"/>
          <w:color w:val="auto"/>
        </w:rPr>
        <w:t xml:space="preserve">  </w:t>
      </w:r>
      <w:r w:rsidR="004A1FAE">
        <w:rPr>
          <w:rFonts w:hAnsi="Times New Roman" w:cs="Times New Roman"/>
          <w:color w:val="auto"/>
        </w:rPr>
        <w:t>T</w:t>
      </w:r>
      <w:r w:rsidR="004A1FAE" w:rsidRPr="00DD1543">
        <w:rPr>
          <w:rFonts w:hAnsi="Times New Roman" w:cs="Times New Roman"/>
          <w:color w:val="auto"/>
        </w:rPr>
        <w:t xml:space="preserve">here is </w:t>
      </w:r>
      <w:r w:rsidR="004A1FAE">
        <w:rPr>
          <w:rFonts w:hAnsi="Times New Roman" w:cs="Times New Roman"/>
          <w:color w:val="auto"/>
        </w:rPr>
        <w:t xml:space="preserve">a </w:t>
      </w:r>
      <w:r w:rsidR="004A1FAE" w:rsidRPr="00DD1543">
        <w:rPr>
          <w:rFonts w:hAnsi="Times New Roman" w:cs="Times New Roman"/>
          <w:color w:val="auto"/>
        </w:rPr>
        <w:t>consensus</w:t>
      </w:r>
      <w:r w:rsidR="004A1FAE">
        <w:rPr>
          <w:rFonts w:hAnsi="Times New Roman" w:cs="Times New Roman"/>
          <w:color w:val="auto"/>
        </w:rPr>
        <w:t xml:space="preserve"> in the literature</w:t>
      </w:r>
      <w:r w:rsidR="004A1FAE" w:rsidRPr="00DD1543">
        <w:rPr>
          <w:rFonts w:hAnsi="Times New Roman" w:cs="Times New Roman"/>
          <w:color w:val="auto"/>
        </w:rPr>
        <w:t xml:space="preserve"> that the effects of knowledge flows are geographically localized.</w:t>
      </w:r>
      <w:r w:rsidR="004A1FAE" w:rsidRPr="00DD1543">
        <w:rPr>
          <w:rFonts w:hAnsi="Times New Roman" w:cs="Times New Roman"/>
          <w:color w:val="auto"/>
          <w:vertAlign w:val="superscript"/>
        </w:rPr>
        <w:footnoteReference w:id="169"/>
      </w:r>
      <w:r w:rsidR="00224F9B">
        <w:rPr>
          <w:rFonts w:hAnsi="Times New Roman" w:cs="Times New Roman"/>
          <w:color w:val="auto"/>
        </w:rPr>
        <w:t xml:space="preserve"> </w:t>
      </w:r>
      <w:r w:rsidR="00607F9A">
        <w:rPr>
          <w:rFonts w:hAnsi="Times New Roman" w:cs="Times New Roman"/>
          <w:color w:val="auto"/>
        </w:rPr>
        <w:t>Indeed, the d</w:t>
      </w:r>
      <w:r w:rsidR="00607F9A" w:rsidRPr="00DD1543">
        <w:rPr>
          <w:rFonts w:hAnsi="Times New Roman" w:cs="Times New Roman"/>
          <w:color w:val="auto"/>
        </w:rPr>
        <w:t>ifferences between the quality of human capital ha</w:t>
      </w:r>
      <w:r w:rsidR="00607F9A">
        <w:rPr>
          <w:rFonts w:hAnsi="Times New Roman" w:cs="Times New Roman"/>
          <w:color w:val="auto"/>
        </w:rPr>
        <w:t>s</w:t>
      </w:r>
      <w:r w:rsidR="00607F9A" w:rsidRPr="00DD1543">
        <w:rPr>
          <w:rFonts w:hAnsi="Times New Roman" w:cs="Times New Roman"/>
          <w:color w:val="auto"/>
        </w:rPr>
        <w:t xml:space="preserve"> become key to understanding the challenges of </w:t>
      </w:r>
      <w:r w:rsidR="00607F9A">
        <w:rPr>
          <w:rFonts w:hAnsi="Times New Roman" w:cs="Times New Roman"/>
          <w:color w:val="auto"/>
        </w:rPr>
        <w:t>economic development</w:t>
      </w:r>
      <w:r w:rsidR="00607F9A" w:rsidRPr="00DD1543">
        <w:rPr>
          <w:rFonts w:hAnsi="Times New Roman" w:cs="Times New Roman"/>
          <w:color w:val="auto"/>
        </w:rPr>
        <w:t>.</w:t>
      </w:r>
      <w:r w:rsidR="00607F9A" w:rsidRPr="00DD1543">
        <w:rPr>
          <w:rFonts w:hAnsi="Times New Roman" w:cs="Times New Roman"/>
          <w:color w:val="auto"/>
          <w:vertAlign w:val="superscript"/>
        </w:rPr>
        <w:footnoteReference w:id="170"/>
      </w:r>
      <w:r w:rsidR="00607F9A">
        <w:rPr>
          <w:rFonts w:hAnsi="Times New Roman" w:cs="Times New Roman"/>
          <w:color w:val="auto"/>
        </w:rPr>
        <w:t>Despite global technology and the accessibility of information through the Internet, f</w:t>
      </w:r>
      <w:r w:rsidR="004A1FAE" w:rsidRPr="00DD1543">
        <w:rPr>
          <w:rFonts w:hAnsi="Times New Roman" w:cs="Times New Roman"/>
          <w:color w:val="auto"/>
        </w:rPr>
        <w:t>irms are</w:t>
      </w:r>
      <w:r w:rsidR="00607F9A">
        <w:rPr>
          <w:rFonts w:hAnsi="Times New Roman" w:cs="Times New Roman"/>
          <w:color w:val="auto"/>
        </w:rPr>
        <w:t xml:space="preserve"> far</w:t>
      </w:r>
      <w:r w:rsidR="004A1FAE" w:rsidRPr="00DD1543">
        <w:rPr>
          <w:rFonts w:hAnsi="Times New Roman" w:cs="Times New Roman"/>
          <w:color w:val="auto"/>
        </w:rPr>
        <w:t xml:space="preserve"> more likely to quote research from a local university than a distant university</w:t>
      </w:r>
      <w:r w:rsidR="00607F9A">
        <w:rPr>
          <w:rFonts w:hAnsi="Times New Roman" w:cs="Times New Roman"/>
          <w:color w:val="auto"/>
        </w:rPr>
        <w:t>,</w:t>
      </w:r>
      <w:r w:rsidR="009B4DB1">
        <w:rPr>
          <w:rFonts w:hAnsi="Times New Roman" w:cs="Times New Roman"/>
          <w:color w:val="auto"/>
        </w:rPr>
        <w:t xml:space="preserve"> as</w:t>
      </w:r>
      <w:r w:rsidR="00607F9A">
        <w:rPr>
          <w:rFonts w:hAnsi="Times New Roman" w:cs="Times New Roman"/>
          <w:color w:val="auto"/>
        </w:rPr>
        <w:t xml:space="preserve"> </w:t>
      </w:r>
      <w:r w:rsidR="00224F9B">
        <w:rPr>
          <w:rFonts w:hAnsi="Times New Roman" w:cs="Times New Roman"/>
          <w:color w:val="auto"/>
        </w:rPr>
        <w:t>exemplified</w:t>
      </w:r>
      <w:r w:rsidR="004A1FAE" w:rsidRPr="00DD1543">
        <w:rPr>
          <w:rFonts w:hAnsi="Times New Roman" w:cs="Times New Roman"/>
          <w:color w:val="auto"/>
        </w:rPr>
        <w:t xml:space="preserve"> in patent applications.</w:t>
      </w:r>
      <w:r w:rsidR="004A1FAE" w:rsidRPr="00DD1543">
        <w:rPr>
          <w:rFonts w:hAnsi="Times New Roman" w:cs="Times New Roman"/>
          <w:color w:val="auto"/>
          <w:vertAlign w:val="superscript"/>
        </w:rPr>
        <w:footnoteReference w:id="171"/>
      </w:r>
      <w:r w:rsidR="003B3326">
        <w:rPr>
          <w:rFonts w:hAnsi="Times New Roman" w:cs="Times New Roman"/>
          <w:color w:val="auto"/>
        </w:rPr>
        <w:t xml:space="preserve"> </w:t>
      </w:r>
    </w:p>
    <w:p w14:paraId="1BF23F37" w14:textId="77777777" w:rsidR="00B66152" w:rsidRDefault="00B66152" w:rsidP="00E429CF">
      <w:pPr>
        <w:ind w:firstLine="720"/>
        <w:rPr>
          <w:rFonts w:hAnsi="Times New Roman" w:cs="Times New Roman"/>
          <w:color w:val="auto"/>
        </w:rPr>
      </w:pPr>
    </w:p>
    <w:p w14:paraId="376FD98D" w14:textId="7971B337" w:rsidR="004A1FAE" w:rsidRPr="00DD1543" w:rsidRDefault="00607F9A" w:rsidP="00E429CF">
      <w:pPr>
        <w:ind w:firstLine="720"/>
        <w:rPr>
          <w:rFonts w:hAnsi="Times New Roman" w:cs="Times New Roman"/>
          <w:color w:val="auto"/>
        </w:rPr>
      </w:pPr>
      <w:r>
        <w:rPr>
          <w:rFonts w:hAnsi="Times New Roman" w:cs="Times New Roman"/>
          <w:color w:val="auto"/>
        </w:rPr>
        <w:t xml:space="preserve">Tacit knowledge is </w:t>
      </w:r>
      <w:r w:rsidR="00224F9B">
        <w:rPr>
          <w:rFonts w:hAnsi="Times New Roman" w:cs="Times New Roman"/>
          <w:color w:val="auto"/>
        </w:rPr>
        <w:t>particularly</w:t>
      </w:r>
      <w:r>
        <w:rPr>
          <w:rFonts w:hAnsi="Times New Roman" w:cs="Times New Roman"/>
          <w:color w:val="auto"/>
        </w:rPr>
        <w:t xml:space="preserve"> localized </w:t>
      </w:r>
      <w:r w:rsidR="00224F9B">
        <w:rPr>
          <w:rFonts w:hAnsi="Times New Roman" w:cs="Times New Roman"/>
          <w:color w:val="auto"/>
        </w:rPr>
        <w:t xml:space="preserve">compared to </w:t>
      </w:r>
      <w:r>
        <w:rPr>
          <w:rFonts w:hAnsi="Times New Roman" w:cs="Times New Roman"/>
          <w:color w:val="auto"/>
        </w:rPr>
        <w:t>written knowledge precisely because it is embedded in people.</w:t>
      </w:r>
      <w:r w:rsidR="00224F9B">
        <w:rPr>
          <w:rFonts w:hAnsi="Times New Roman" w:cs="Times New Roman"/>
          <w:color w:val="auto"/>
        </w:rPr>
        <w:t xml:space="preserve"> </w:t>
      </w:r>
      <w:r w:rsidR="00DD4A6B">
        <w:rPr>
          <w:rFonts w:hAnsi="Times New Roman" w:cs="Times New Roman"/>
          <w:color w:val="auto"/>
        </w:rPr>
        <w:t xml:space="preserve">Knowledge </w:t>
      </w:r>
      <w:r w:rsidR="002318AA" w:rsidRPr="00DD1543">
        <w:rPr>
          <w:rFonts w:hAnsi="Times New Roman" w:cs="Times New Roman"/>
          <w:color w:val="auto"/>
        </w:rPr>
        <w:t>remains tacit</w:t>
      </w:r>
      <w:r w:rsidR="00CA2F36">
        <w:rPr>
          <w:rFonts w:hAnsi="Times New Roman" w:cs="Times New Roman"/>
          <w:color w:val="auto"/>
        </w:rPr>
        <w:t>,</w:t>
      </w:r>
      <w:r w:rsidR="002318AA" w:rsidRPr="00DD1543">
        <w:rPr>
          <w:rFonts w:hAnsi="Times New Roman" w:cs="Times New Roman"/>
          <w:color w:val="auto"/>
        </w:rPr>
        <w:t xml:space="preserve"> rather than codified</w:t>
      </w:r>
      <w:r w:rsidR="00224F9B">
        <w:rPr>
          <w:rFonts w:hAnsi="Times New Roman" w:cs="Times New Roman"/>
          <w:color w:val="auto"/>
        </w:rPr>
        <w:t xml:space="preserve"> </w:t>
      </w:r>
      <w:r w:rsidR="00DD4A6B">
        <w:rPr>
          <w:rFonts w:hAnsi="Times New Roman" w:cs="Times New Roman"/>
          <w:color w:val="auto"/>
        </w:rPr>
        <w:t>for two reasons. First,</w:t>
      </w:r>
      <w:r w:rsidR="00BC34AF">
        <w:rPr>
          <w:rFonts w:hAnsi="Times New Roman" w:cs="Times New Roman"/>
          <w:color w:val="auto"/>
        </w:rPr>
        <w:t xml:space="preserve"> </w:t>
      </w:r>
      <w:r w:rsidR="002318AA" w:rsidRPr="00DD1543">
        <w:rPr>
          <w:rFonts w:hAnsi="Times New Roman" w:cs="Times New Roman"/>
          <w:color w:val="auto"/>
        </w:rPr>
        <w:t>certain types of knowledge</w:t>
      </w:r>
      <w:r w:rsidR="00BC34AF">
        <w:rPr>
          <w:rFonts w:hAnsi="Times New Roman" w:cs="Times New Roman"/>
          <w:color w:val="auto"/>
        </w:rPr>
        <w:t xml:space="preserve"> by their nature</w:t>
      </w:r>
      <w:r w:rsidR="002318AA" w:rsidRPr="00DD1543">
        <w:rPr>
          <w:rFonts w:hAnsi="Times New Roman" w:cs="Times New Roman"/>
          <w:color w:val="auto"/>
        </w:rPr>
        <w:t xml:space="preserve"> </w:t>
      </w:r>
      <w:r w:rsidR="00DD4A6B">
        <w:rPr>
          <w:rFonts w:hAnsi="Times New Roman" w:cs="Times New Roman"/>
          <w:color w:val="auto"/>
        </w:rPr>
        <w:t xml:space="preserve">simply cannot be written down. </w:t>
      </w:r>
      <w:r w:rsidR="00231B8E" w:rsidRPr="00224F9B">
        <w:rPr>
          <w:rFonts w:hAnsi="Times New Roman" w:cs="Times New Roman"/>
          <w:color w:val="auto"/>
        </w:rPr>
        <w:t xml:space="preserve">As </w:t>
      </w:r>
      <w:r w:rsidR="00231B8E" w:rsidRPr="00AB3561">
        <w:rPr>
          <w:rFonts w:hAnsi="Times New Roman" w:cs="Times New Roman"/>
          <w:color w:val="auto"/>
        </w:rPr>
        <w:t>Polanyi put it, “we can know more than we can tell.”</w:t>
      </w:r>
      <w:r w:rsidR="009A2AD4">
        <w:rPr>
          <w:rStyle w:val="FootnoteReference"/>
          <w:rFonts w:hAnsi="Times New Roman" w:cs="Times New Roman"/>
          <w:color w:val="auto"/>
        </w:rPr>
        <w:footnoteReference w:id="172"/>
      </w:r>
      <w:r w:rsidR="00224F9B">
        <w:rPr>
          <w:rFonts w:hAnsi="Times New Roman" w:cs="Times New Roman"/>
          <w:color w:val="252525"/>
        </w:rPr>
        <w:t xml:space="preserve"> </w:t>
      </w:r>
      <w:r w:rsidR="00DD4A6B">
        <w:rPr>
          <w:rFonts w:hAnsi="Times New Roman" w:cs="Times New Roman"/>
          <w:color w:val="auto"/>
        </w:rPr>
        <w:t>This is why tacit k</w:t>
      </w:r>
      <w:r w:rsidR="00DD4A6B" w:rsidRPr="00DD1543">
        <w:rPr>
          <w:rFonts w:hAnsi="Times New Roman" w:cs="Times New Roman"/>
          <w:color w:val="auto"/>
        </w:rPr>
        <w:t xml:space="preserve">nowledge is difficult to transmit </w:t>
      </w:r>
      <w:r w:rsidR="00DD4A6B">
        <w:rPr>
          <w:rFonts w:hAnsi="Times New Roman" w:cs="Times New Roman"/>
          <w:color w:val="auto"/>
        </w:rPr>
        <w:t xml:space="preserve">through </w:t>
      </w:r>
      <w:r w:rsidR="00DD4A6B" w:rsidRPr="00DD1543">
        <w:rPr>
          <w:rFonts w:hAnsi="Times New Roman" w:cs="Times New Roman"/>
          <w:color w:val="auto"/>
        </w:rPr>
        <w:t>a patent document or a scientific journal.</w:t>
      </w:r>
      <w:r w:rsidR="00CE0DE6">
        <w:rPr>
          <w:rStyle w:val="FootnoteReference"/>
          <w:rFonts w:hAnsi="Times New Roman" w:cs="Times New Roman"/>
          <w:color w:val="auto"/>
        </w:rPr>
        <w:footnoteReference w:id="173"/>
      </w:r>
      <w:r w:rsidR="003F08E2">
        <w:rPr>
          <w:rFonts w:hAnsi="Times New Roman" w:cs="Times New Roman"/>
          <w:color w:val="auto"/>
        </w:rPr>
        <w:t xml:space="preserve"> </w:t>
      </w:r>
      <w:r w:rsidR="00DD4A6B">
        <w:rPr>
          <w:rFonts w:hAnsi="Times New Roman" w:cs="Times New Roman"/>
          <w:color w:val="auto"/>
        </w:rPr>
        <w:t>Second,</w:t>
      </w:r>
      <w:r w:rsidR="002318AA" w:rsidRPr="00DD1543">
        <w:rPr>
          <w:rFonts w:hAnsi="Times New Roman" w:cs="Times New Roman"/>
          <w:color w:val="auto"/>
        </w:rPr>
        <w:t xml:space="preserve"> even when knowledge is amenable to codification, those holding the knowledge often lack incentive to codify it.</w:t>
      </w:r>
      <w:r w:rsidR="002318AA" w:rsidRPr="00DD1543">
        <w:rPr>
          <w:rFonts w:hAnsi="Times New Roman" w:cs="Times New Roman"/>
          <w:color w:val="auto"/>
          <w:vertAlign w:val="superscript"/>
        </w:rPr>
        <w:footnoteReference w:id="174"/>
      </w:r>
      <w:r w:rsidR="00224F9B">
        <w:rPr>
          <w:rFonts w:hAnsi="Times New Roman" w:cs="Times New Roman"/>
          <w:color w:val="auto"/>
        </w:rPr>
        <w:t xml:space="preserve"> </w:t>
      </w:r>
      <w:r w:rsidR="00E429CF" w:rsidRPr="001F1B15">
        <w:rPr>
          <w:rFonts w:hAnsi="Times New Roman" w:cs="Times New Roman"/>
          <w:color w:val="auto"/>
        </w:rPr>
        <w:t>D</w:t>
      </w:r>
      <w:r w:rsidR="00E429CF" w:rsidRPr="002822E4">
        <w:rPr>
          <w:rFonts w:hAnsi="Times New Roman" w:cs="Times New Roman"/>
          <w:color w:val="auto"/>
        </w:rPr>
        <w:t>irect int</w:t>
      </w:r>
      <w:r w:rsidR="00E429CF" w:rsidRPr="001169DA">
        <w:rPr>
          <w:rFonts w:hAnsi="Times New Roman" w:cs="Times New Roman"/>
          <w:color w:val="auto"/>
        </w:rPr>
        <w:t xml:space="preserve">eractions between people are </w:t>
      </w:r>
      <w:r w:rsidR="00E429CF">
        <w:rPr>
          <w:rFonts w:hAnsi="Times New Roman" w:cs="Times New Roman"/>
          <w:color w:val="auto"/>
        </w:rPr>
        <w:t xml:space="preserve">thus </w:t>
      </w:r>
      <w:r w:rsidR="00E429CF" w:rsidRPr="001169DA">
        <w:rPr>
          <w:rFonts w:hAnsi="Times New Roman" w:cs="Times New Roman"/>
          <w:color w:val="auto"/>
        </w:rPr>
        <w:t>the primary vehicle of transmitting these aspects of knowledge.</w:t>
      </w:r>
      <w:r w:rsidR="00E429CF">
        <w:rPr>
          <w:rFonts w:hAnsi="Times New Roman" w:cs="Times New Roman"/>
          <w:color w:val="auto"/>
        </w:rPr>
        <w:t xml:space="preserve"> </w:t>
      </w:r>
      <w:r w:rsidR="00283710" w:rsidRPr="00DD1543">
        <w:rPr>
          <w:rFonts w:hAnsi="Times New Roman" w:cs="Times New Roman"/>
          <w:color w:val="auto"/>
        </w:rPr>
        <w:t xml:space="preserve">Given that information is not fully captured by sources outside the minds of individuals, knowledge flows </w:t>
      </w:r>
      <w:r w:rsidR="00283710" w:rsidRPr="001169DA">
        <w:rPr>
          <w:rFonts w:hAnsi="Times New Roman" w:cs="Times New Roman"/>
          <w:color w:val="auto"/>
        </w:rPr>
        <w:t>in the market through employee mobility and professional interaction.</w:t>
      </w:r>
      <w:r w:rsidR="00224F9B">
        <w:rPr>
          <w:rFonts w:hAnsi="Times New Roman" w:cs="Times New Roman"/>
          <w:color w:val="auto"/>
        </w:rPr>
        <w:t xml:space="preserve"> </w:t>
      </w:r>
      <w:r w:rsidR="009A2AD4" w:rsidRPr="00AB3561">
        <w:rPr>
          <w:rFonts w:hAnsi="Times New Roman" w:cs="Times New Roman"/>
          <w:color w:val="auto"/>
        </w:rPr>
        <w:t>Kenneth Arrow hailed mobility of employees as a central way of spr</w:t>
      </w:r>
      <w:r w:rsidR="009A2AD4" w:rsidRPr="00224F9B">
        <w:rPr>
          <w:rFonts w:hAnsi="Times New Roman" w:cs="Times New Roman"/>
          <w:color w:val="auto"/>
        </w:rPr>
        <w:t>eading information.</w:t>
      </w:r>
      <w:r w:rsidR="009A2AD4">
        <w:rPr>
          <w:rStyle w:val="FootnoteReference"/>
          <w:rFonts w:hAnsi="Times New Roman" w:cs="Times New Roman"/>
          <w:color w:val="auto"/>
        </w:rPr>
        <w:footnoteReference w:id="175"/>
      </w:r>
      <w:r w:rsidR="009A2AD4" w:rsidRPr="00224F9B">
        <w:rPr>
          <w:rFonts w:hAnsi="Times New Roman" w:cs="Times New Roman"/>
          <w:color w:val="auto"/>
        </w:rPr>
        <w:t xml:space="preserve"> </w:t>
      </w:r>
      <w:r w:rsidR="00231B8E" w:rsidRPr="00224F9B">
        <w:rPr>
          <w:rFonts w:hAnsi="Times New Roman" w:cs="Times New Roman"/>
          <w:color w:val="auto"/>
        </w:rPr>
        <w:t xml:space="preserve">As Dan Burk put it, </w:t>
      </w:r>
      <w:r w:rsidR="00231B8E" w:rsidRPr="00AB3561">
        <w:rPr>
          <w:rFonts w:hAnsi="Times New Roman" w:cs="Times New Roman"/>
          <w:color w:val="auto"/>
        </w:rPr>
        <w:t>uncodified</w:t>
      </w:r>
      <w:r w:rsidR="00231B8E" w:rsidRPr="00AB3561">
        <w:rPr>
          <w:rStyle w:val="apple-converted-space"/>
          <w:rFonts w:hAnsi="Times New Roman" w:cs="Times New Roman"/>
          <w:color w:val="auto"/>
        </w:rPr>
        <w:t> </w:t>
      </w:r>
      <w:r w:rsidR="00231B8E" w:rsidRPr="00AB3561">
        <w:rPr>
          <w:rStyle w:val="cosearchterm"/>
          <w:rFonts w:hAnsi="Times New Roman" w:cs="Times New Roman"/>
          <w:bCs/>
          <w:color w:val="auto"/>
        </w:rPr>
        <w:t>knowledge</w:t>
      </w:r>
      <w:r w:rsidR="00231B8E" w:rsidRPr="00AB3561">
        <w:rPr>
          <w:rStyle w:val="apple-converted-space"/>
          <w:rFonts w:hAnsi="Times New Roman" w:cs="Times New Roman"/>
          <w:color w:val="auto"/>
        </w:rPr>
        <w:t> </w:t>
      </w:r>
      <w:r w:rsidR="00231B8E" w:rsidRPr="00AB3561">
        <w:rPr>
          <w:rFonts w:hAnsi="Times New Roman" w:cs="Times New Roman"/>
          <w:color w:val="auto"/>
        </w:rPr>
        <w:t>“moves only with the humans who carry it.”</w:t>
      </w:r>
      <w:r w:rsidR="00231B8E" w:rsidRPr="00AB3561">
        <w:rPr>
          <w:rStyle w:val="FootnoteReference"/>
          <w:rFonts w:hAnsi="Times New Roman" w:cs="Times New Roman"/>
          <w:color w:val="auto"/>
        </w:rPr>
        <w:footnoteReference w:id="176"/>
      </w:r>
      <w:r w:rsidR="00C263DB" w:rsidRPr="00AB3561">
        <w:rPr>
          <w:rFonts w:hAnsi="Times New Roman" w:cs="Times New Roman"/>
          <w:color w:val="auto"/>
        </w:rPr>
        <w:t xml:space="preserve"> </w:t>
      </w:r>
    </w:p>
    <w:p w14:paraId="58F9D561" w14:textId="77777777" w:rsidR="007F1F19" w:rsidRPr="00DD1543" w:rsidRDefault="007F1F19">
      <w:pPr>
        <w:rPr>
          <w:rFonts w:hAnsi="Times New Roman" w:cs="Times New Roman"/>
          <w:color w:val="auto"/>
        </w:rPr>
      </w:pPr>
    </w:p>
    <w:p w14:paraId="037BDE4E" w14:textId="77777777" w:rsidR="007F1F19" w:rsidRPr="00DD1543" w:rsidRDefault="00811009" w:rsidP="00FB41FF">
      <w:pPr>
        <w:pStyle w:val="Heading2"/>
        <w:ind w:left="1710" w:firstLine="0"/>
        <w:jc w:val="both"/>
        <w:rPr>
          <w:color w:val="auto"/>
        </w:rPr>
      </w:pPr>
      <w:bookmarkStart w:id="28" w:name="_Toc399167400"/>
      <w:r>
        <w:rPr>
          <w:color w:val="auto"/>
        </w:rPr>
        <w:t xml:space="preserve">B. </w:t>
      </w:r>
      <w:r w:rsidR="002318AA" w:rsidRPr="00DD1543">
        <w:rPr>
          <w:color w:val="auto"/>
        </w:rPr>
        <w:t>Relational</w:t>
      </w:r>
      <w:r w:rsidR="007C27F5">
        <w:rPr>
          <w:color w:val="auto"/>
        </w:rPr>
        <w:t xml:space="preserve"> </w:t>
      </w:r>
      <w:r w:rsidR="001C6AF4">
        <w:rPr>
          <w:color w:val="auto"/>
        </w:rPr>
        <w:t>&amp; Networked</w:t>
      </w:r>
      <w:r w:rsidR="002318AA" w:rsidRPr="00DD1543">
        <w:rPr>
          <w:color w:val="auto"/>
        </w:rPr>
        <w:t xml:space="preserve"> Knowledge</w:t>
      </w:r>
      <w:bookmarkEnd w:id="28"/>
    </w:p>
    <w:p w14:paraId="420C17AC" w14:textId="77777777" w:rsidR="007F1F19" w:rsidRPr="00DD1543" w:rsidRDefault="007F1F19">
      <w:pPr>
        <w:pStyle w:val="Heading2"/>
        <w:ind w:firstLine="0"/>
        <w:jc w:val="both"/>
        <w:rPr>
          <w:color w:val="auto"/>
        </w:rPr>
      </w:pPr>
    </w:p>
    <w:p w14:paraId="64F50A4F" w14:textId="6148D925" w:rsidR="001C6AF4" w:rsidRDefault="001C6AF4" w:rsidP="00C72268">
      <w:pPr>
        <w:ind w:firstLine="720"/>
        <w:rPr>
          <w:rFonts w:hAnsi="Times New Roman" w:cs="Times New Roman"/>
          <w:color w:val="auto"/>
        </w:rPr>
      </w:pPr>
      <w:r>
        <w:rPr>
          <w:rFonts w:hAnsi="Times New Roman" w:cs="Times New Roman"/>
          <w:color w:val="auto"/>
        </w:rPr>
        <w:t>Relationships</w:t>
      </w:r>
      <w:r w:rsidRPr="00DD1543">
        <w:rPr>
          <w:rFonts w:hAnsi="Times New Roman" w:cs="Times New Roman"/>
          <w:color w:val="auto"/>
        </w:rPr>
        <w:t xml:space="preserve"> spur </w:t>
      </w:r>
      <w:r>
        <w:rPr>
          <w:rFonts w:hAnsi="Times New Roman" w:cs="Times New Roman"/>
          <w:color w:val="auto"/>
        </w:rPr>
        <w:t>innovation</w:t>
      </w:r>
      <w:r w:rsidRPr="00DD1543">
        <w:rPr>
          <w:rFonts w:hAnsi="Times New Roman" w:cs="Times New Roman"/>
          <w:color w:val="auto"/>
        </w:rPr>
        <w:t xml:space="preserve">. </w:t>
      </w:r>
      <w:r w:rsidR="007F005D" w:rsidRPr="00DD1543">
        <w:rPr>
          <w:rFonts w:hAnsi="Times New Roman" w:cs="Times New Roman"/>
          <w:color w:val="auto"/>
        </w:rPr>
        <w:t>I</w:t>
      </w:r>
      <w:r w:rsidR="007F005D">
        <w:rPr>
          <w:rFonts w:hAnsi="Times New Roman" w:cs="Times New Roman"/>
          <w:color w:val="auto"/>
        </w:rPr>
        <w:t>n par</w:t>
      </w:r>
      <w:r w:rsidR="007F005D" w:rsidRPr="00DD1543">
        <w:rPr>
          <w:rFonts w:hAnsi="Times New Roman" w:cs="Times New Roman"/>
          <w:color w:val="auto"/>
        </w:rPr>
        <w:t>t</w:t>
      </w:r>
      <w:r w:rsidR="007F005D">
        <w:rPr>
          <w:rFonts w:hAnsi="Times New Roman" w:cs="Times New Roman"/>
          <w:color w:val="auto"/>
        </w:rPr>
        <w:t>, it</w:t>
      </w:r>
      <w:r w:rsidR="007F005D" w:rsidRPr="00DD1543">
        <w:rPr>
          <w:rFonts w:hAnsi="Times New Roman" w:cs="Times New Roman"/>
          <w:color w:val="auto"/>
        </w:rPr>
        <w:t xml:space="preserve"> is the existence of tacit knowledge that drives the formation of social ties and a professional community.</w:t>
      </w:r>
      <w:r w:rsidR="007F005D" w:rsidRPr="00DD1543">
        <w:rPr>
          <w:rFonts w:hAnsi="Times New Roman" w:cs="Times New Roman"/>
          <w:color w:val="auto"/>
          <w:vertAlign w:val="superscript"/>
        </w:rPr>
        <w:footnoteReference w:id="177"/>
      </w:r>
      <w:r w:rsidR="00D14AFE">
        <w:rPr>
          <w:rFonts w:hAnsi="Times New Roman" w:cs="Times New Roman"/>
          <w:color w:val="auto"/>
        </w:rPr>
        <w:t xml:space="preserve"> </w:t>
      </w:r>
      <w:r w:rsidR="007F005D" w:rsidRPr="009A04A1">
        <w:rPr>
          <w:rFonts w:hAnsi="Times New Roman" w:cs="Times New Roman"/>
          <w:color w:val="auto"/>
        </w:rPr>
        <w:t>Knowledge flows between people through relationships</w:t>
      </w:r>
      <w:r w:rsidR="000A59BF" w:rsidRPr="009A04A1">
        <w:rPr>
          <w:rFonts w:hAnsi="Times New Roman" w:cs="Times New Roman"/>
          <w:color w:val="auto"/>
        </w:rPr>
        <w:t>.</w:t>
      </w:r>
      <w:r w:rsidR="00224F9B">
        <w:rPr>
          <w:rFonts w:hAnsi="Times New Roman" w:cs="Times New Roman"/>
          <w:color w:val="auto"/>
        </w:rPr>
        <w:t xml:space="preserve"> </w:t>
      </w:r>
      <w:r w:rsidR="000A59BF" w:rsidRPr="009A04A1">
        <w:rPr>
          <w:rFonts w:hAnsi="Times New Roman" w:cs="Times New Roman"/>
          <w:color w:val="auto"/>
        </w:rPr>
        <w:t xml:space="preserve">These relationships </w:t>
      </w:r>
      <w:r w:rsidR="007F005D" w:rsidRPr="009A04A1">
        <w:rPr>
          <w:rFonts w:hAnsi="Times New Roman" w:cs="Times New Roman"/>
          <w:color w:val="auto"/>
        </w:rPr>
        <w:t>continue after people move jobs</w:t>
      </w:r>
      <w:r w:rsidR="000A59BF" w:rsidRPr="009A04A1">
        <w:rPr>
          <w:rFonts w:hAnsi="Times New Roman" w:cs="Times New Roman"/>
          <w:color w:val="auto"/>
        </w:rPr>
        <w:t>,</w:t>
      </w:r>
      <w:r w:rsidR="007F005D" w:rsidRPr="009A04A1">
        <w:rPr>
          <w:rFonts w:hAnsi="Times New Roman" w:cs="Times New Roman"/>
          <w:color w:val="auto"/>
        </w:rPr>
        <w:t xml:space="preserve"> forming professional connections where past colleagues remain acquaintances and potential collaborators.</w:t>
      </w:r>
      <w:r w:rsidR="00224F9B">
        <w:rPr>
          <w:rFonts w:hAnsi="Times New Roman" w:cs="Times New Roman"/>
          <w:color w:val="auto"/>
        </w:rPr>
        <w:t xml:space="preserve"> </w:t>
      </w:r>
      <w:r w:rsidR="007F005D">
        <w:rPr>
          <w:rFonts w:hAnsi="Times New Roman" w:cs="Times New Roman"/>
          <w:color w:val="auto"/>
        </w:rPr>
        <w:t>But b</w:t>
      </w:r>
      <w:r w:rsidRPr="00DD1543">
        <w:rPr>
          <w:rFonts w:hAnsi="Times New Roman" w:cs="Times New Roman"/>
          <w:color w:val="auto"/>
        </w:rPr>
        <w:t xml:space="preserve">eyond the flow of tacit knowledge, </w:t>
      </w:r>
      <w:r w:rsidR="007F005D">
        <w:rPr>
          <w:rFonts w:hAnsi="Times New Roman" w:cs="Times New Roman"/>
          <w:color w:val="auto"/>
        </w:rPr>
        <w:t>relationships</w:t>
      </w:r>
      <w:r w:rsidRPr="00DD1543">
        <w:rPr>
          <w:rFonts w:hAnsi="Times New Roman" w:cs="Times New Roman"/>
          <w:color w:val="auto"/>
        </w:rPr>
        <w:t xml:space="preserve"> create opportunities for connecting between distinct types of knowledge and ideas.</w:t>
      </w:r>
      <w:r w:rsidR="00224F9B">
        <w:rPr>
          <w:rFonts w:hAnsi="Times New Roman" w:cs="Times New Roman"/>
          <w:color w:val="auto"/>
        </w:rPr>
        <w:t xml:space="preserve">  </w:t>
      </w:r>
      <w:r w:rsidRPr="00DD1543">
        <w:rPr>
          <w:rFonts w:hAnsi="Times New Roman" w:cs="Times New Roman"/>
          <w:color w:val="auto"/>
        </w:rPr>
        <w:t xml:space="preserve">A series of </w:t>
      </w:r>
      <w:r>
        <w:rPr>
          <w:rFonts w:hAnsi="Times New Roman" w:cs="Times New Roman"/>
          <w:color w:val="auto"/>
        </w:rPr>
        <w:t>recent</w:t>
      </w:r>
      <w:r w:rsidRPr="00DD1543">
        <w:rPr>
          <w:rFonts w:hAnsi="Times New Roman" w:cs="Times New Roman"/>
          <w:color w:val="auto"/>
        </w:rPr>
        <w:t xml:space="preserve"> studies test the importance of collaboration </w:t>
      </w:r>
      <w:r w:rsidR="001669C2">
        <w:rPr>
          <w:rFonts w:hAnsi="Times New Roman" w:cs="Times New Roman"/>
          <w:color w:val="auto"/>
        </w:rPr>
        <w:t>between</w:t>
      </w:r>
      <w:r w:rsidRPr="00DD1543">
        <w:rPr>
          <w:rFonts w:hAnsi="Times New Roman" w:cs="Times New Roman"/>
          <w:color w:val="auto"/>
        </w:rPr>
        <w:t xml:space="preserve"> professionals over time. </w:t>
      </w:r>
      <w:r w:rsidR="001669C2">
        <w:rPr>
          <w:rFonts w:hAnsi="Times New Roman" w:cs="Times New Roman"/>
          <w:color w:val="auto"/>
        </w:rPr>
        <w:t xml:space="preserve">Several important insights arise from this body of research. First, </w:t>
      </w:r>
      <w:r w:rsidRPr="00DD1543">
        <w:rPr>
          <w:rFonts w:hAnsi="Times New Roman" w:cs="Times New Roman"/>
          <w:color w:val="auto"/>
        </w:rPr>
        <w:t>the existence of professional ties highly impact</w:t>
      </w:r>
      <w:r w:rsidR="001669C2">
        <w:rPr>
          <w:rFonts w:hAnsi="Times New Roman" w:cs="Times New Roman"/>
          <w:color w:val="auto"/>
        </w:rPr>
        <w:t>s</w:t>
      </w:r>
      <w:r w:rsidRPr="00DD1543">
        <w:rPr>
          <w:rFonts w:hAnsi="Times New Roman" w:cs="Times New Roman"/>
          <w:color w:val="auto"/>
        </w:rPr>
        <w:t xml:space="preserve"> the likelihood of individual entrepreneurial activit</w:t>
      </w:r>
      <w:r>
        <w:rPr>
          <w:rFonts w:hAnsi="Times New Roman" w:cs="Times New Roman"/>
          <w:color w:val="auto"/>
        </w:rPr>
        <w:t>y</w:t>
      </w:r>
      <w:r w:rsidR="001669C2">
        <w:rPr>
          <w:rFonts w:hAnsi="Times New Roman" w:cs="Times New Roman"/>
          <w:color w:val="auto"/>
        </w:rPr>
        <w:t>.</w:t>
      </w:r>
      <w:r w:rsidR="001669C2" w:rsidRPr="00DD1543">
        <w:rPr>
          <w:rFonts w:hAnsi="Times New Roman" w:cs="Times New Roman"/>
          <w:color w:val="auto"/>
          <w:vertAlign w:val="superscript"/>
        </w:rPr>
        <w:footnoteReference w:id="178"/>
      </w:r>
      <w:r w:rsidR="00615636">
        <w:rPr>
          <w:rFonts w:hAnsi="Times New Roman" w:cs="Times New Roman"/>
          <w:color w:val="auto"/>
        </w:rPr>
        <w:t xml:space="preserve"> These r</w:t>
      </w:r>
      <w:r w:rsidR="001669C2">
        <w:rPr>
          <w:rFonts w:hAnsi="Times New Roman" w:cs="Times New Roman"/>
          <w:color w:val="auto"/>
        </w:rPr>
        <w:t>elationships</w:t>
      </w:r>
      <w:r w:rsidR="00224F9B">
        <w:rPr>
          <w:rFonts w:hAnsi="Times New Roman" w:cs="Times New Roman"/>
          <w:color w:val="auto"/>
        </w:rPr>
        <w:t xml:space="preserve"> </w:t>
      </w:r>
      <w:r w:rsidRPr="00DD1543">
        <w:rPr>
          <w:rFonts w:hAnsi="Times New Roman" w:cs="Times New Roman"/>
          <w:color w:val="auto"/>
        </w:rPr>
        <w:t>enabl</w:t>
      </w:r>
      <w:r>
        <w:rPr>
          <w:rFonts w:hAnsi="Times New Roman" w:cs="Times New Roman"/>
          <w:color w:val="auto"/>
        </w:rPr>
        <w:t>e</w:t>
      </w:r>
      <w:r w:rsidRPr="00DD1543">
        <w:rPr>
          <w:rFonts w:hAnsi="Times New Roman" w:cs="Times New Roman"/>
          <w:color w:val="auto"/>
        </w:rPr>
        <w:t xml:space="preserve"> an individual to identify entrepreneurial opportunities and increas</w:t>
      </w:r>
      <w:r>
        <w:rPr>
          <w:rFonts w:hAnsi="Times New Roman" w:cs="Times New Roman"/>
          <w:color w:val="auto"/>
        </w:rPr>
        <w:t>e</w:t>
      </w:r>
      <w:r w:rsidRPr="00DD1543">
        <w:rPr>
          <w:rFonts w:hAnsi="Times New Roman" w:cs="Times New Roman"/>
          <w:color w:val="auto"/>
        </w:rPr>
        <w:t xml:space="preserve"> her motivation to pursue those opportunities</w:t>
      </w:r>
      <w:r w:rsidR="00615636">
        <w:rPr>
          <w:rFonts w:hAnsi="Times New Roman" w:cs="Times New Roman"/>
          <w:color w:val="auto"/>
        </w:rPr>
        <w:t>, especially for those without exposure to entrepreneurship in their own family</w:t>
      </w:r>
      <w:r w:rsidR="00825680">
        <w:rPr>
          <w:rFonts w:hAnsi="Times New Roman" w:cs="Times New Roman"/>
          <w:color w:val="auto"/>
        </w:rPr>
        <w:t>.</w:t>
      </w:r>
      <w:r w:rsidRPr="00DD1543">
        <w:rPr>
          <w:rFonts w:hAnsi="Times New Roman" w:cs="Times New Roman"/>
          <w:color w:val="auto"/>
          <w:vertAlign w:val="superscript"/>
        </w:rPr>
        <w:footnoteReference w:id="179"/>
      </w:r>
      <w:r w:rsidR="00224F9B">
        <w:rPr>
          <w:rFonts w:hAnsi="Times New Roman" w:cs="Times New Roman"/>
          <w:color w:val="auto"/>
        </w:rPr>
        <w:t xml:space="preserve"> </w:t>
      </w:r>
      <w:r w:rsidR="00615636">
        <w:rPr>
          <w:rFonts w:hAnsi="Times New Roman" w:cs="Times New Roman"/>
          <w:color w:val="auto"/>
        </w:rPr>
        <w:t xml:space="preserve">Second, relationships activate </w:t>
      </w:r>
      <w:r w:rsidR="00E429CF">
        <w:rPr>
          <w:rFonts w:hAnsi="Times New Roman" w:cs="Times New Roman"/>
          <w:color w:val="auto"/>
        </w:rPr>
        <w:t>participation in collaborative efforts</w:t>
      </w:r>
      <w:r w:rsidRPr="00DD1543">
        <w:rPr>
          <w:rFonts w:hAnsi="Times New Roman" w:cs="Times New Roman"/>
          <w:color w:val="auto"/>
        </w:rPr>
        <w:t xml:space="preserve"> </w:t>
      </w:r>
      <w:r w:rsidR="00E429CF">
        <w:rPr>
          <w:rFonts w:hAnsi="Times New Roman" w:cs="Times New Roman"/>
          <w:color w:val="auto"/>
        </w:rPr>
        <w:t>and the mo</w:t>
      </w:r>
      <w:r w:rsidRPr="00DD1543">
        <w:rPr>
          <w:rFonts w:hAnsi="Times New Roman" w:cs="Times New Roman"/>
          <w:color w:val="auto"/>
        </w:rPr>
        <w:t>re collaborators an individual has</w:t>
      </w:r>
      <w:r w:rsidR="00E429CF">
        <w:rPr>
          <w:rFonts w:hAnsi="Times New Roman" w:cs="Times New Roman"/>
          <w:color w:val="auto"/>
        </w:rPr>
        <w:t xml:space="preserve"> had</w:t>
      </w:r>
      <w:r w:rsidRPr="00DD1543">
        <w:rPr>
          <w:rFonts w:hAnsi="Times New Roman" w:cs="Times New Roman"/>
          <w:color w:val="auto"/>
        </w:rPr>
        <w:t>, the more likely she is to participate again in a collaborative venture.</w:t>
      </w:r>
      <w:r w:rsidRPr="00DD1543">
        <w:rPr>
          <w:rFonts w:hAnsi="Times New Roman" w:cs="Times New Roman"/>
          <w:color w:val="auto"/>
          <w:vertAlign w:val="superscript"/>
        </w:rPr>
        <w:footnoteReference w:id="180"/>
      </w:r>
      <w:r w:rsidR="00E429CF">
        <w:rPr>
          <w:rFonts w:hAnsi="Times New Roman" w:cs="Times New Roman"/>
          <w:color w:val="auto"/>
        </w:rPr>
        <w:t xml:space="preserve"> Third</w:t>
      </w:r>
      <w:r w:rsidR="007F005D">
        <w:rPr>
          <w:rFonts w:hAnsi="Times New Roman" w:cs="Times New Roman"/>
          <w:color w:val="auto"/>
        </w:rPr>
        <w:t>, and perhaps most important</w:t>
      </w:r>
      <w:r w:rsidR="00825680">
        <w:rPr>
          <w:rFonts w:hAnsi="Times New Roman" w:cs="Times New Roman"/>
          <w:color w:val="auto"/>
        </w:rPr>
        <w:t>ly,</w:t>
      </w:r>
      <w:r w:rsidR="007F005D">
        <w:rPr>
          <w:rFonts w:hAnsi="Times New Roman" w:cs="Times New Roman"/>
          <w:color w:val="auto"/>
        </w:rPr>
        <w:t xml:space="preserve"> knowledge is not only relational</w:t>
      </w:r>
      <w:r w:rsidR="00104C22">
        <w:rPr>
          <w:rFonts w:hAnsi="Times New Roman" w:cs="Times New Roman"/>
          <w:color w:val="auto"/>
        </w:rPr>
        <w:t>,</w:t>
      </w:r>
      <w:r w:rsidR="007F005D">
        <w:rPr>
          <w:rFonts w:hAnsi="Times New Roman" w:cs="Times New Roman"/>
          <w:color w:val="auto"/>
        </w:rPr>
        <w:t xml:space="preserve"> but networked in the sense that the comb</w:t>
      </w:r>
      <w:r w:rsidR="00175210" w:rsidRPr="00DD1543">
        <w:rPr>
          <w:rFonts w:hAnsi="Times New Roman" w:cs="Times New Roman"/>
          <w:color w:val="auto"/>
        </w:rPr>
        <w:t>ined knowledge that exists within a region or a professional community</w:t>
      </w:r>
      <w:r w:rsidR="007F005D">
        <w:rPr>
          <w:rFonts w:hAnsi="Times New Roman" w:cs="Times New Roman"/>
          <w:color w:val="auto"/>
        </w:rPr>
        <w:t xml:space="preserve"> impacts the future knowledge ventures of each individual</w:t>
      </w:r>
      <w:r w:rsidR="00175210" w:rsidRPr="00DD1543">
        <w:rPr>
          <w:rFonts w:hAnsi="Times New Roman" w:cs="Times New Roman"/>
          <w:color w:val="auto"/>
        </w:rPr>
        <w:t xml:space="preserve">. Contemporary </w:t>
      </w:r>
      <w:r w:rsidR="00E429CF">
        <w:rPr>
          <w:rFonts w:hAnsi="Times New Roman" w:cs="Times New Roman"/>
          <w:color w:val="auto"/>
        </w:rPr>
        <w:t>research</w:t>
      </w:r>
      <w:r w:rsidR="00175210" w:rsidRPr="00DD1543">
        <w:rPr>
          <w:rFonts w:hAnsi="Times New Roman" w:cs="Times New Roman"/>
          <w:color w:val="auto"/>
        </w:rPr>
        <w:t xml:space="preserve"> illuminates the ways knowledge is embedded in institutions.</w:t>
      </w:r>
      <w:r w:rsidR="00175210" w:rsidRPr="00DD1543">
        <w:rPr>
          <w:rFonts w:hAnsi="Times New Roman" w:cs="Times New Roman"/>
          <w:color w:val="auto"/>
          <w:vertAlign w:val="superscript"/>
        </w:rPr>
        <w:footnoteReference w:id="181"/>
      </w:r>
      <w:r w:rsidR="00175210" w:rsidRPr="00DD1543">
        <w:rPr>
          <w:rFonts w:hAnsi="Times New Roman" w:cs="Times New Roman"/>
          <w:color w:val="auto"/>
        </w:rPr>
        <w:t xml:space="preserve"> Organizations, </w:t>
      </w:r>
      <w:r w:rsidR="00E429CF">
        <w:rPr>
          <w:rFonts w:hAnsi="Times New Roman" w:cs="Times New Roman"/>
          <w:color w:val="auto"/>
        </w:rPr>
        <w:t xml:space="preserve">professional networks, and regions </w:t>
      </w:r>
      <w:r w:rsidR="00175210" w:rsidRPr="00DD1543">
        <w:rPr>
          <w:rFonts w:hAnsi="Times New Roman" w:cs="Times New Roman"/>
          <w:color w:val="auto"/>
        </w:rPr>
        <w:t xml:space="preserve">can be understood to have “DNA” in the sense of patterning individual processes. </w:t>
      </w:r>
      <w:r w:rsidR="00C72268">
        <w:rPr>
          <w:rFonts w:hAnsi="Times New Roman" w:cs="Times New Roman"/>
          <w:color w:val="auto"/>
        </w:rPr>
        <w:t xml:space="preserve">An impressive body of research demonstrates the ways </w:t>
      </w:r>
      <w:r w:rsidR="005124B7">
        <w:rPr>
          <w:rFonts w:hAnsi="Times New Roman" w:cs="Times New Roman"/>
          <w:color w:val="auto"/>
        </w:rPr>
        <w:t>that the</w:t>
      </w:r>
      <w:r w:rsidR="005124B7" w:rsidRPr="00DD1543">
        <w:rPr>
          <w:rFonts w:hAnsi="Times New Roman" w:cs="Times New Roman"/>
          <w:color w:val="auto"/>
        </w:rPr>
        <w:t xml:space="preserve"> </w:t>
      </w:r>
      <w:r w:rsidR="00175210" w:rsidRPr="00DD1543">
        <w:rPr>
          <w:rFonts w:hAnsi="Times New Roman" w:cs="Times New Roman"/>
          <w:color w:val="auto"/>
        </w:rPr>
        <w:t>richness of ties in a locality determine the quality and breadth of creativity found in that region.</w:t>
      </w:r>
      <w:r w:rsidR="00C72268" w:rsidRPr="00DD1543">
        <w:rPr>
          <w:rFonts w:hAnsi="Times New Roman" w:cs="Times New Roman"/>
          <w:color w:val="auto"/>
          <w:vertAlign w:val="superscript"/>
        </w:rPr>
        <w:footnoteReference w:id="182"/>
      </w:r>
      <w:r w:rsidR="00C72268">
        <w:rPr>
          <w:rFonts w:hAnsi="Times New Roman" w:cs="Times New Roman"/>
          <w:color w:val="auto"/>
        </w:rPr>
        <w:t xml:space="preserve"> W</w:t>
      </w:r>
      <w:r w:rsidR="00175210" w:rsidRPr="00DD1543">
        <w:rPr>
          <w:rFonts w:hAnsi="Times New Roman" w:cs="Times New Roman"/>
          <w:color w:val="auto"/>
        </w:rPr>
        <w:t>hen a regional network of inventors is dense, the number of future inventions coming out of that region</w:t>
      </w:r>
      <w:r w:rsidR="00480E5E">
        <w:rPr>
          <w:rFonts w:hAnsi="Times New Roman" w:cs="Times New Roman"/>
          <w:color w:val="auto"/>
        </w:rPr>
        <w:t xml:space="preserve"> will significantly increase</w:t>
      </w:r>
      <w:r w:rsidR="00175210" w:rsidRPr="00DD1543">
        <w:rPr>
          <w:rFonts w:hAnsi="Times New Roman" w:cs="Times New Roman"/>
          <w:color w:val="auto"/>
        </w:rPr>
        <w:t>.</w:t>
      </w:r>
      <w:r w:rsidR="00C72268" w:rsidRPr="00DD1543">
        <w:rPr>
          <w:rFonts w:hAnsi="Times New Roman" w:cs="Times New Roman"/>
          <w:color w:val="auto"/>
          <w:vertAlign w:val="superscript"/>
        </w:rPr>
        <w:footnoteReference w:id="183"/>
      </w:r>
      <w:r w:rsidR="0072762E">
        <w:rPr>
          <w:rFonts w:hAnsi="Times New Roman" w:cs="Times New Roman"/>
          <w:color w:val="auto"/>
        </w:rPr>
        <w:t xml:space="preserve"> </w:t>
      </w:r>
      <w:r w:rsidR="00C72268">
        <w:rPr>
          <w:rFonts w:hAnsi="Times New Roman" w:cs="Times New Roman"/>
          <w:color w:val="auto"/>
        </w:rPr>
        <w:t>T</w:t>
      </w:r>
      <w:r w:rsidR="00C72268" w:rsidRPr="00DD1543">
        <w:rPr>
          <w:rFonts w:hAnsi="Times New Roman" w:cs="Times New Roman"/>
          <w:color w:val="auto"/>
        </w:rPr>
        <w:t xml:space="preserve">he </w:t>
      </w:r>
      <w:r w:rsidR="00C72268">
        <w:rPr>
          <w:rFonts w:hAnsi="Times New Roman" w:cs="Times New Roman"/>
          <w:color w:val="auto"/>
        </w:rPr>
        <w:t>more</w:t>
      </w:r>
      <w:r w:rsidR="00C72268" w:rsidRPr="00DD1543">
        <w:rPr>
          <w:rFonts w:hAnsi="Times New Roman" w:cs="Times New Roman"/>
          <w:color w:val="auto"/>
        </w:rPr>
        <w:t xml:space="preserve"> people in contact, the more </w:t>
      </w:r>
      <w:r w:rsidR="00C72268">
        <w:rPr>
          <w:rFonts w:hAnsi="Times New Roman" w:cs="Times New Roman"/>
          <w:color w:val="auto"/>
        </w:rPr>
        <w:t xml:space="preserve">productive each member of that network. </w:t>
      </w:r>
      <w:r w:rsidR="00EC3856" w:rsidRPr="00DD1543">
        <w:rPr>
          <w:rFonts w:hAnsi="Times New Roman" w:cs="Times New Roman"/>
          <w:color w:val="auto"/>
        </w:rPr>
        <w:t xml:space="preserve">Dense metropolitan areas enjoy </w:t>
      </w:r>
      <w:r w:rsidR="00C72268">
        <w:rPr>
          <w:rFonts w:hAnsi="Times New Roman" w:cs="Times New Roman"/>
          <w:color w:val="auto"/>
        </w:rPr>
        <w:t>a significant rise</w:t>
      </w:r>
      <w:r w:rsidR="00EC3856" w:rsidRPr="00DD1543">
        <w:rPr>
          <w:rFonts w:hAnsi="Times New Roman" w:cs="Times New Roman"/>
          <w:color w:val="auto"/>
        </w:rPr>
        <w:t xml:space="preserve"> in the number of patents </w:t>
      </w:r>
      <w:r w:rsidR="00EC3856" w:rsidRPr="00C72268">
        <w:rPr>
          <w:rFonts w:hAnsi="Times New Roman" w:cs="Times New Roman"/>
          <w:i/>
          <w:iCs/>
          <w:color w:val="auto"/>
        </w:rPr>
        <w:t>per capita</w:t>
      </w:r>
      <w:r w:rsidR="00EC3856" w:rsidRPr="00DD1543">
        <w:rPr>
          <w:rFonts w:hAnsi="Times New Roman" w:cs="Times New Roman"/>
          <w:color w:val="auto"/>
        </w:rPr>
        <w:t xml:space="preserve"> when compared to </w:t>
      </w:r>
      <w:r w:rsidR="00EC3856">
        <w:rPr>
          <w:rFonts w:hAnsi="Times New Roman" w:cs="Times New Roman"/>
          <w:color w:val="auto"/>
        </w:rPr>
        <w:t xml:space="preserve">the number of patents per capita in </w:t>
      </w:r>
      <w:r w:rsidR="00EC3856" w:rsidRPr="00DD1543">
        <w:rPr>
          <w:rFonts w:hAnsi="Times New Roman" w:cs="Times New Roman"/>
          <w:color w:val="auto"/>
        </w:rPr>
        <w:t xml:space="preserve">areas </w:t>
      </w:r>
      <w:r w:rsidR="00EC3856">
        <w:rPr>
          <w:rFonts w:hAnsi="Times New Roman" w:cs="Times New Roman"/>
          <w:color w:val="auto"/>
        </w:rPr>
        <w:t xml:space="preserve">that are </w:t>
      </w:r>
      <w:r w:rsidR="00C72268">
        <w:rPr>
          <w:rFonts w:hAnsi="Times New Roman" w:cs="Times New Roman"/>
          <w:color w:val="auto"/>
        </w:rPr>
        <w:t>less</w:t>
      </w:r>
      <w:r w:rsidR="00EC3856" w:rsidRPr="00DD1543">
        <w:rPr>
          <w:rFonts w:hAnsi="Times New Roman" w:cs="Times New Roman"/>
          <w:color w:val="auto"/>
        </w:rPr>
        <w:t xml:space="preserve"> dense.</w:t>
      </w:r>
      <w:r w:rsidR="00EC3856" w:rsidRPr="00DD1543">
        <w:rPr>
          <w:rFonts w:hAnsi="Times New Roman" w:cs="Times New Roman"/>
          <w:color w:val="auto"/>
          <w:vertAlign w:val="superscript"/>
        </w:rPr>
        <w:footnoteReference w:id="184"/>
      </w:r>
      <w:r w:rsidR="00EC3856" w:rsidRPr="00DD1543">
        <w:rPr>
          <w:rFonts w:hAnsi="Times New Roman" w:cs="Times New Roman"/>
          <w:color w:val="auto"/>
        </w:rPr>
        <w:t xml:space="preserve"> Geographic density of creative ventures provides a space for professional meetings, face-to-face interactions, and </w:t>
      </w:r>
      <w:r w:rsidR="00C72268">
        <w:rPr>
          <w:rFonts w:hAnsi="Times New Roman" w:cs="Times New Roman"/>
          <w:color w:val="auto"/>
        </w:rPr>
        <w:t>long-term</w:t>
      </w:r>
      <w:r w:rsidR="00EC3856" w:rsidRPr="00DD1543">
        <w:rPr>
          <w:rFonts w:hAnsi="Times New Roman" w:cs="Times New Roman"/>
          <w:color w:val="auto"/>
        </w:rPr>
        <w:t xml:space="preserve"> social connections. </w:t>
      </w:r>
      <w:r w:rsidR="007F005D">
        <w:rPr>
          <w:rFonts w:hAnsi="Times New Roman" w:cs="Times New Roman"/>
          <w:color w:val="auto"/>
        </w:rPr>
        <w:t>A</w:t>
      </w:r>
      <w:r w:rsidR="00175210">
        <w:rPr>
          <w:rFonts w:hAnsi="Times New Roman" w:cs="Times New Roman"/>
          <w:color w:val="auto"/>
        </w:rPr>
        <w:t>s the</w:t>
      </w:r>
      <w:r w:rsidR="00175210" w:rsidRPr="00DD1543">
        <w:rPr>
          <w:rFonts w:hAnsi="Times New Roman" w:cs="Times New Roman"/>
          <w:color w:val="auto"/>
        </w:rPr>
        <w:t xml:space="preserve"> flow of human capital increases the density of networks facilitates the diffusion of complex information</w:t>
      </w:r>
      <w:r w:rsidR="00175210">
        <w:rPr>
          <w:rFonts w:hAnsi="Times New Roman" w:cs="Times New Roman"/>
          <w:color w:val="auto"/>
        </w:rPr>
        <w:t>,</w:t>
      </w:r>
      <w:r w:rsidR="00BF0677">
        <w:rPr>
          <w:rFonts w:hAnsi="Times New Roman" w:cs="Times New Roman"/>
          <w:color w:val="auto"/>
        </w:rPr>
        <w:t xml:space="preserve"> and</w:t>
      </w:r>
      <w:r w:rsidR="00175210">
        <w:rPr>
          <w:rFonts w:hAnsi="Times New Roman" w:cs="Times New Roman"/>
          <w:color w:val="auto"/>
        </w:rPr>
        <w:t xml:space="preserve"> the quality of the knowledge network</w:t>
      </w:r>
      <w:r w:rsidR="00C72268">
        <w:rPr>
          <w:rFonts w:hAnsi="Times New Roman" w:cs="Times New Roman"/>
          <w:color w:val="auto"/>
        </w:rPr>
        <w:t xml:space="preserve"> itself improves</w:t>
      </w:r>
      <w:r w:rsidR="00175210" w:rsidRPr="00DD1543">
        <w:rPr>
          <w:rFonts w:hAnsi="Times New Roman" w:cs="Times New Roman"/>
          <w:color w:val="auto"/>
        </w:rPr>
        <w:t xml:space="preserve">. </w:t>
      </w:r>
      <w:r w:rsidR="00175210">
        <w:rPr>
          <w:rFonts w:hAnsi="Times New Roman" w:cs="Times New Roman"/>
          <w:color w:val="auto"/>
        </w:rPr>
        <w:t>T</w:t>
      </w:r>
      <w:r w:rsidRPr="00DD1543">
        <w:rPr>
          <w:rFonts w:hAnsi="Times New Roman" w:cs="Times New Roman"/>
          <w:color w:val="auto"/>
        </w:rPr>
        <w:t>he loss that stems from controlling human interactions and flow is therefore different, and indeed greater than the formal knowledge that any single individual may possess.</w:t>
      </w:r>
      <w:r w:rsidRPr="00DD1543">
        <w:rPr>
          <w:rFonts w:hAnsi="Times New Roman" w:cs="Times New Roman"/>
          <w:color w:val="auto"/>
          <w:vertAlign w:val="superscript"/>
        </w:rPr>
        <w:footnoteReference w:id="185"/>
      </w:r>
      <w:r w:rsidRPr="00DD1543">
        <w:rPr>
          <w:rFonts w:hAnsi="Times New Roman" w:cs="Times New Roman"/>
          <w:color w:val="auto"/>
        </w:rPr>
        <w:t xml:space="preserve"> </w:t>
      </w:r>
    </w:p>
    <w:p w14:paraId="279956F6" w14:textId="77777777" w:rsidR="007F1F19" w:rsidRPr="00DD1543" w:rsidRDefault="007F1F19">
      <w:pPr>
        <w:rPr>
          <w:rFonts w:hAnsi="Times New Roman" w:cs="Times New Roman"/>
          <w:color w:val="auto"/>
        </w:rPr>
      </w:pPr>
    </w:p>
    <w:p w14:paraId="40A9E22D" w14:textId="77777777" w:rsidR="007F1F19" w:rsidRPr="00A40A70" w:rsidRDefault="001C6AF4" w:rsidP="00E76FCE">
      <w:pPr>
        <w:pStyle w:val="Heading2"/>
        <w:jc w:val="both"/>
      </w:pPr>
      <w:bookmarkStart w:id="29" w:name="_Toc399167401"/>
      <w:r w:rsidRPr="00A40A70">
        <w:t>C</w:t>
      </w:r>
      <w:r w:rsidR="00D406E4" w:rsidRPr="00A40A70">
        <w:t xml:space="preserve">. </w:t>
      </w:r>
      <w:r w:rsidR="002318AA" w:rsidRPr="00A40A70">
        <w:t xml:space="preserve">Motivational </w:t>
      </w:r>
      <w:r w:rsidR="00774055" w:rsidRPr="00A40A70">
        <w:t xml:space="preserve">&amp; Disruptive </w:t>
      </w:r>
      <w:r w:rsidR="002318AA" w:rsidRPr="00A40A70">
        <w:t>Knowledge</w:t>
      </w:r>
      <w:bookmarkEnd w:id="29"/>
    </w:p>
    <w:p w14:paraId="5056A4C6" w14:textId="77777777" w:rsidR="00325B41" w:rsidRDefault="00325B41">
      <w:pPr>
        <w:ind w:firstLine="720"/>
        <w:rPr>
          <w:rFonts w:hAnsi="Times New Roman" w:cs="Times New Roman"/>
          <w:color w:val="auto"/>
        </w:rPr>
      </w:pPr>
    </w:p>
    <w:p w14:paraId="26FC2443" w14:textId="42673190" w:rsidR="007F1F19" w:rsidRPr="00DD1543" w:rsidRDefault="00405062" w:rsidP="00B55E4E">
      <w:pPr>
        <w:ind w:firstLine="720"/>
        <w:rPr>
          <w:rFonts w:hAnsi="Times New Roman" w:cs="Times New Roman"/>
          <w:color w:val="auto"/>
        </w:rPr>
      </w:pPr>
      <w:r>
        <w:rPr>
          <w:rFonts w:hAnsi="Times New Roman" w:cs="Times New Roman"/>
          <w:color w:val="auto"/>
        </w:rPr>
        <w:t>In the new knowledge economy</w:t>
      </w:r>
      <w:r w:rsidR="002318AA" w:rsidRPr="00DD1543">
        <w:rPr>
          <w:rFonts w:hAnsi="Times New Roman" w:cs="Times New Roman"/>
          <w:color w:val="auto"/>
        </w:rPr>
        <w:t>, human capital</w:t>
      </w:r>
      <w:r>
        <w:rPr>
          <w:rFonts w:hAnsi="Times New Roman" w:cs="Times New Roman"/>
          <w:color w:val="auto"/>
        </w:rPr>
        <w:t xml:space="preserve"> has become</w:t>
      </w:r>
      <w:r w:rsidR="004975CD">
        <w:rPr>
          <w:rFonts w:hAnsi="Times New Roman" w:cs="Times New Roman"/>
          <w:color w:val="auto"/>
        </w:rPr>
        <w:t xml:space="preserve"> </w:t>
      </w:r>
      <w:r>
        <w:rPr>
          <w:rFonts w:hAnsi="Times New Roman" w:cs="Times New Roman"/>
          <w:color w:val="auto"/>
        </w:rPr>
        <w:t>a</w:t>
      </w:r>
      <w:r w:rsidR="002318AA" w:rsidRPr="00DD1543">
        <w:rPr>
          <w:rFonts w:hAnsi="Times New Roman" w:cs="Times New Roman"/>
          <w:color w:val="auto"/>
        </w:rPr>
        <w:t xml:space="preserve"> premier resource that gives companies their competitive edge. And yet, human capital is not a static resource in the way real estate or building materials serve a construction company. </w:t>
      </w:r>
      <w:r w:rsidR="004975CD">
        <w:rPr>
          <w:rFonts w:hAnsi="Times New Roman" w:cs="Times New Roman"/>
          <w:color w:val="auto"/>
        </w:rPr>
        <w:t>Human capital</w:t>
      </w:r>
      <w:r w:rsidR="004975CD" w:rsidRPr="00DD1543">
        <w:rPr>
          <w:rFonts w:hAnsi="Times New Roman" w:cs="Times New Roman"/>
          <w:color w:val="auto"/>
        </w:rPr>
        <w:t xml:space="preserve"> </w:t>
      </w:r>
      <w:r w:rsidR="002318AA" w:rsidRPr="00DD1543">
        <w:rPr>
          <w:rFonts w:hAnsi="Times New Roman" w:cs="Times New Roman"/>
          <w:color w:val="auto"/>
        </w:rPr>
        <w:t xml:space="preserve">is both a resource and a living subject </w:t>
      </w:r>
      <w:r w:rsidR="00FE3AB8">
        <w:rPr>
          <w:rFonts w:hAnsi="Times New Roman" w:cs="Times New Roman"/>
          <w:color w:val="auto"/>
        </w:rPr>
        <w:t xml:space="preserve">that </w:t>
      </w:r>
      <w:r w:rsidR="002318AA" w:rsidRPr="00DD1543">
        <w:rPr>
          <w:rFonts w:hAnsi="Times New Roman" w:cs="Times New Roman"/>
          <w:color w:val="auto"/>
        </w:rPr>
        <w:t xml:space="preserve">makes constant judgments, decisions, and choices about the quantity and quality of outputs. Put differently, human capital is a resource with built-in motivation. </w:t>
      </w:r>
      <w:r w:rsidR="00145CB9">
        <w:rPr>
          <w:rFonts w:hAnsi="Times New Roman" w:cs="Times New Roman"/>
          <w:color w:val="auto"/>
        </w:rPr>
        <w:t>Quite intuitively, n</w:t>
      </w:r>
      <w:r w:rsidR="002318AA" w:rsidRPr="00DD1543">
        <w:rPr>
          <w:rFonts w:hAnsi="Times New Roman" w:cs="Times New Roman"/>
          <w:color w:val="auto"/>
        </w:rPr>
        <w:t>on-competes, trade secrets, and other controls over human capital</w:t>
      </w:r>
      <w:r w:rsidR="002D0139">
        <w:rPr>
          <w:rFonts w:hAnsi="Times New Roman" w:cs="Times New Roman"/>
          <w:color w:val="auto"/>
        </w:rPr>
        <w:t>,</w:t>
      </w:r>
      <w:r w:rsidR="009146FA">
        <w:rPr>
          <w:rFonts w:hAnsi="Times New Roman" w:cs="Times New Roman"/>
          <w:color w:val="auto"/>
        </w:rPr>
        <w:t xml:space="preserve"> </w:t>
      </w:r>
      <w:r w:rsidR="00145CB9">
        <w:rPr>
          <w:rFonts w:hAnsi="Times New Roman" w:cs="Times New Roman"/>
          <w:color w:val="auto"/>
        </w:rPr>
        <w:t xml:space="preserve">which strip individuals from ownership over their skills, knowledge, experiences, and future competitiveness, </w:t>
      </w:r>
      <w:r w:rsidR="002318AA" w:rsidRPr="00DD1543">
        <w:rPr>
          <w:rFonts w:hAnsi="Times New Roman" w:cs="Times New Roman"/>
          <w:color w:val="auto"/>
        </w:rPr>
        <w:t>may</w:t>
      </w:r>
      <w:r w:rsidR="00145CB9">
        <w:rPr>
          <w:rFonts w:hAnsi="Times New Roman" w:cs="Times New Roman"/>
          <w:color w:val="auto"/>
        </w:rPr>
        <w:t xml:space="preserve"> decrease the drive to effectively employ one’s cognitive energies.</w:t>
      </w:r>
      <w:r w:rsidR="004975CD">
        <w:rPr>
          <w:rFonts w:hAnsi="Times New Roman" w:cs="Times New Roman"/>
          <w:color w:val="auto"/>
        </w:rPr>
        <w:t xml:space="preserve"> </w:t>
      </w:r>
      <w:r w:rsidR="00145CB9">
        <w:rPr>
          <w:rFonts w:hAnsi="Times New Roman" w:cs="Times New Roman"/>
          <w:color w:val="auto"/>
        </w:rPr>
        <w:t>In</w:t>
      </w:r>
      <w:r w:rsidR="00B55E4E">
        <w:rPr>
          <w:rFonts w:hAnsi="Times New Roman" w:cs="Times New Roman"/>
          <w:color w:val="auto"/>
        </w:rPr>
        <w:t xml:space="preserve"> other words, the new cognitive property not only commodifies intangible knowledge beyond the bounds of intellectual property, it changes the quality of that knowledge. In</w:t>
      </w:r>
      <w:r w:rsidR="00145CB9">
        <w:rPr>
          <w:rFonts w:hAnsi="Times New Roman" w:cs="Times New Roman"/>
          <w:color w:val="auto"/>
        </w:rPr>
        <w:t xml:space="preserve"> general, employees </w:t>
      </w:r>
      <w:r w:rsidR="00B55E4E">
        <w:rPr>
          <w:rFonts w:hAnsi="Times New Roman" w:cs="Times New Roman"/>
          <w:color w:val="auto"/>
        </w:rPr>
        <w:t>are</w:t>
      </w:r>
      <w:r w:rsidR="00145CB9">
        <w:rPr>
          <w:rFonts w:hAnsi="Times New Roman" w:cs="Times New Roman"/>
          <w:color w:val="auto"/>
        </w:rPr>
        <w:t xml:space="preserve"> discouraged</w:t>
      </w:r>
      <w:r w:rsidR="002318AA" w:rsidRPr="00DD1543">
        <w:rPr>
          <w:rFonts w:hAnsi="Times New Roman" w:cs="Times New Roman"/>
          <w:color w:val="auto"/>
        </w:rPr>
        <w:t xml:space="preserve"> from investing in their </w:t>
      </w:r>
      <w:r w:rsidR="001C05D0">
        <w:rPr>
          <w:rFonts w:hAnsi="Times New Roman" w:cs="Times New Roman"/>
          <w:color w:val="auto"/>
        </w:rPr>
        <w:t>human capital when</w:t>
      </w:r>
      <w:r w:rsidR="002318AA" w:rsidRPr="00DD1543">
        <w:rPr>
          <w:rFonts w:hAnsi="Times New Roman" w:cs="Times New Roman"/>
          <w:color w:val="auto"/>
        </w:rPr>
        <w:t xml:space="preserve"> inter-firm competition is less likely to occur.</w:t>
      </w:r>
      <w:bookmarkStart w:id="30" w:name="_Ref266780293"/>
      <w:r w:rsidR="00B55E4E" w:rsidRPr="00DD1543">
        <w:rPr>
          <w:rFonts w:eastAsia="Times New Roman" w:hAnsi="Times New Roman" w:cs="Times New Roman"/>
          <w:color w:val="auto"/>
          <w:vertAlign w:val="superscript"/>
        </w:rPr>
        <w:footnoteReference w:id="186"/>
      </w:r>
      <w:bookmarkEnd w:id="30"/>
      <w:r w:rsidR="002318AA" w:rsidRPr="00DD1543">
        <w:rPr>
          <w:rFonts w:hAnsi="Times New Roman" w:cs="Times New Roman"/>
          <w:color w:val="auto"/>
        </w:rPr>
        <w:t xml:space="preserve"> Motivation </w:t>
      </w:r>
      <w:r w:rsidR="00B55E4E">
        <w:rPr>
          <w:rFonts w:hAnsi="Times New Roman" w:cs="Times New Roman"/>
          <w:color w:val="auto"/>
        </w:rPr>
        <w:t>is</w:t>
      </w:r>
      <w:r w:rsidR="002318AA" w:rsidRPr="00DD1543">
        <w:rPr>
          <w:rFonts w:hAnsi="Times New Roman" w:cs="Times New Roman"/>
          <w:color w:val="auto"/>
        </w:rPr>
        <w:t xml:space="preserve"> also reduced </w:t>
      </w:r>
      <w:r w:rsidR="001C05D0">
        <w:rPr>
          <w:rFonts w:hAnsi="Times New Roman" w:cs="Times New Roman"/>
          <w:color w:val="auto"/>
        </w:rPr>
        <w:t>when</w:t>
      </w:r>
      <w:r w:rsidR="002318AA" w:rsidRPr="00DD1543">
        <w:rPr>
          <w:rFonts w:hAnsi="Times New Roman" w:cs="Times New Roman"/>
          <w:color w:val="auto"/>
        </w:rPr>
        <w:t xml:space="preserve"> employees whose human capital is propertized have </w:t>
      </w:r>
      <w:r w:rsidR="00032F9E" w:rsidRPr="00DD1543">
        <w:rPr>
          <w:rFonts w:hAnsi="Times New Roman" w:cs="Times New Roman"/>
          <w:color w:val="auto"/>
        </w:rPr>
        <w:t>fewer</w:t>
      </w:r>
      <w:r w:rsidR="001C05D0">
        <w:rPr>
          <w:rFonts w:hAnsi="Times New Roman" w:cs="Times New Roman"/>
          <w:color w:val="auto"/>
        </w:rPr>
        <w:t xml:space="preserve"> prospects </w:t>
      </w:r>
      <w:r w:rsidR="00782A02">
        <w:rPr>
          <w:rFonts w:hAnsi="Times New Roman" w:cs="Times New Roman"/>
          <w:color w:val="auto"/>
        </w:rPr>
        <w:t xml:space="preserve">to receive </w:t>
      </w:r>
      <w:r w:rsidR="001C05D0">
        <w:rPr>
          <w:rFonts w:hAnsi="Times New Roman" w:cs="Times New Roman"/>
          <w:color w:val="auto"/>
        </w:rPr>
        <w:t xml:space="preserve">credit and </w:t>
      </w:r>
      <w:r>
        <w:rPr>
          <w:rFonts w:hAnsi="Times New Roman" w:cs="Times New Roman"/>
          <w:color w:val="auto"/>
        </w:rPr>
        <w:t>attribution</w:t>
      </w:r>
      <w:r w:rsidR="008361E4">
        <w:rPr>
          <w:rFonts w:hAnsi="Times New Roman" w:cs="Times New Roman"/>
          <w:color w:val="auto"/>
        </w:rPr>
        <w:t xml:space="preserve"> </w:t>
      </w:r>
      <w:r w:rsidR="00782A02">
        <w:rPr>
          <w:rFonts w:hAnsi="Times New Roman" w:cs="Times New Roman"/>
          <w:color w:val="auto"/>
        </w:rPr>
        <w:t xml:space="preserve">for </w:t>
      </w:r>
      <w:r w:rsidR="001C05D0">
        <w:rPr>
          <w:rFonts w:hAnsi="Times New Roman" w:cs="Times New Roman"/>
          <w:color w:val="auto"/>
        </w:rPr>
        <w:t>their work, reduced expectations of profit from the</w:t>
      </w:r>
      <w:r w:rsidR="00782A02">
        <w:rPr>
          <w:rFonts w:hAnsi="Times New Roman" w:cs="Times New Roman"/>
          <w:color w:val="auto"/>
        </w:rPr>
        <w:t>ir</w:t>
      </w:r>
      <w:r w:rsidR="001C05D0">
        <w:rPr>
          <w:rFonts w:hAnsi="Times New Roman" w:cs="Times New Roman"/>
          <w:color w:val="auto"/>
        </w:rPr>
        <w:t xml:space="preserve"> innovation, and fewer entrepreneurial opportunities.</w:t>
      </w:r>
      <w:r w:rsidR="00B55E4E">
        <w:rPr>
          <w:rStyle w:val="FootnoteReference"/>
          <w:rFonts w:hAnsi="Times New Roman" w:cs="Times New Roman"/>
          <w:color w:val="auto"/>
        </w:rPr>
        <w:footnoteReference w:id="187"/>
      </w:r>
      <w:r w:rsidR="001C05D0">
        <w:rPr>
          <w:rFonts w:hAnsi="Times New Roman" w:cs="Times New Roman"/>
          <w:color w:val="auto"/>
        </w:rPr>
        <w:t xml:space="preserve"> </w:t>
      </w:r>
      <w:r w:rsidR="00B55E4E">
        <w:rPr>
          <w:rFonts w:hAnsi="Times New Roman" w:cs="Times New Roman"/>
          <w:color w:val="auto"/>
        </w:rPr>
        <w:t>The</w:t>
      </w:r>
      <w:r>
        <w:rPr>
          <w:rFonts w:hAnsi="Times New Roman" w:cs="Times New Roman"/>
          <w:color w:val="auto"/>
        </w:rPr>
        <w:t xml:space="preserve"> background rules of ownership over the human capital alter the very quality of the resource at stake.  </w:t>
      </w:r>
    </w:p>
    <w:p w14:paraId="3207DA22" w14:textId="77777777" w:rsidR="007F1F19" w:rsidRPr="00DD1543" w:rsidRDefault="007F1F19">
      <w:pPr>
        <w:rPr>
          <w:rFonts w:hAnsi="Times New Roman" w:cs="Times New Roman"/>
          <w:color w:val="auto"/>
        </w:rPr>
      </w:pPr>
    </w:p>
    <w:p w14:paraId="7248223D" w14:textId="77777777" w:rsidR="00F3636B" w:rsidRDefault="00091941" w:rsidP="00F37AF5">
      <w:pPr>
        <w:ind w:firstLine="0"/>
      </w:pPr>
      <w:r>
        <w:rPr>
          <w:rFonts w:hAnsi="Times New Roman" w:cs="Times New Roman"/>
          <w:color w:val="auto"/>
        </w:rPr>
        <w:tab/>
      </w:r>
      <w:r w:rsidR="002318AA" w:rsidRPr="00DD1543">
        <w:rPr>
          <w:rFonts w:hAnsi="Times New Roman" w:cs="Times New Roman"/>
          <w:color w:val="auto"/>
        </w:rPr>
        <w:t>In recent behavioral studies</w:t>
      </w:r>
      <w:r w:rsidR="00405062">
        <w:rPr>
          <w:rFonts w:hAnsi="Times New Roman" w:cs="Times New Roman"/>
          <w:color w:val="auto"/>
        </w:rPr>
        <w:t xml:space="preserve"> conducted with my collaborator On Amir</w:t>
      </w:r>
      <w:r w:rsidR="00C225A6">
        <w:rPr>
          <w:rFonts w:hAnsi="Times New Roman" w:cs="Times New Roman"/>
          <w:color w:val="auto"/>
        </w:rPr>
        <w:t>,</w:t>
      </w:r>
      <w:r w:rsidR="008361E4">
        <w:rPr>
          <w:rFonts w:hAnsi="Times New Roman" w:cs="Times New Roman"/>
          <w:color w:val="auto"/>
        </w:rPr>
        <w:t xml:space="preserve"> </w:t>
      </w:r>
      <w:r w:rsidR="00405062">
        <w:rPr>
          <w:rFonts w:hAnsi="Times New Roman" w:cs="Times New Roman"/>
          <w:color w:val="auto"/>
        </w:rPr>
        <w:t>we set up an experimental lab</w:t>
      </w:r>
      <w:r w:rsidR="002318AA" w:rsidRPr="00DD1543">
        <w:rPr>
          <w:rFonts w:hAnsi="Times New Roman" w:cs="Times New Roman"/>
          <w:color w:val="auto"/>
        </w:rPr>
        <w:t xml:space="preserve"> designed to identify the effect of human capital controls and contractual arrangement</w:t>
      </w:r>
      <w:r w:rsidR="00405062">
        <w:rPr>
          <w:rFonts w:hAnsi="Times New Roman" w:cs="Times New Roman"/>
          <w:color w:val="auto"/>
        </w:rPr>
        <w:t xml:space="preserve">s on performance and motivation. </w:t>
      </w:r>
      <w:r w:rsidR="0042237A" w:rsidRPr="00DD1543">
        <w:rPr>
          <w:rFonts w:hAnsi="Times New Roman" w:cs="Times New Roman"/>
          <w:color w:val="auto"/>
        </w:rPr>
        <w:t xml:space="preserve">In our study, participants in an e-lab experiment were asked to perform tasks. Those participants </w:t>
      </w:r>
      <w:r w:rsidR="00F37AF5">
        <w:rPr>
          <w:rFonts w:hAnsi="Times New Roman" w:cs="Times New Roman"/>
          <w:color w:val="auto"/>
        </w:rPr>
        <w:t xml:space="preserve">who </w:t>
      </w:r>
      <w:r w:rsidR="008361E4">
        <w:rPr>
          <w:rFonts w:hAnsi="Times New Roman" w:cs="Times New Roman"/>
          <w:color w:val="auto"/>
        </w:rPr>
        <w:t xml:space="preserve">were </w:t>
      </w:r>
      <w:r w:rsidR="0042237A" w:rsidRPr="00DD1543">
        <w:rPr>
          <w:rFonts w:hAnsi="Times New Roman" w:cs="Times New Roman"/>
          <w:color w:val="auto"/>
        </w:rPr>
        <w:t xml:space="preserve">asked to sign </w:t>
      </w:r>
      <w:r w:rsidR="00F37AF5">
        <w:rPr>
          <w:rFonts w:hAnsi="Times New Roman" w:cs="Times New Roman"/>
          <w:color w:val="auto"/>
        </w:rPr>
        <w:t xml:space="preserve">human capital </w:t>
      </w:r>
      <w:r w:rsidR="0042237A" w:rsidRPr="00DD1543">
        <w:rPr>
          <w:rFonts w:hAnsi="Times New Roman" w:cs="Times New Roman"/>
          <w:color w:val="auto"/>
        </w:rPr>
        <w:t>restrictions on future employment in our online job market</w:t>
      </w:r>
      <w:r w:rsidR="008361E4">
        <w:rPr>
          <w:rFonts w:hAnsi="Times New Roman" w:cs="Times New Roman"/>
          <w:color w:val="auto"/>
        </w:rPr>
        <w:t xml:space="preserve"> performed worse on their tasks</w:t>
      </w:r>
      <w:r w:rsidR="00F37AF5">
        <w:rPr>
          <w:rFonts w:hAnsi="Times New Roman" w:cs="Times New Roman"/>
          <w:color w:val="auto"/>
        </w:rPr>
        <w:t xml:space="preserve"> and were more likely to quit before the end of the experimental</w:t>
      </w:r>
      <w:r w:rsidR="0042237A" w:rsidRPr="00DD1543">
        <w:rPr>
          <w:rFonts w:hAnsi="Times New Roman" w:cs="Times New Roman"/>
          <w:color w:val="auto"/>
        </w:rPr>
        <w:t xml:space="preserve">. </w:t>
      </w:r>
      <w:r w:rsidR="00405062">
        <w:rPr>
          <w:rFonts w:hAnsi="Times New Roman" w:cs="Times New Roman"/>
          <w:color w:val="auto"/>
        </w:rPr>
        <w:t xml:space="preserve">The </w:t>
      </w:r>
      <w:r w:rsidR="0042237A">
        <w:rPr>
          <w:rFonts w:hAnsi="Times New Roman" w:cs="Times New Roman"/>
          <w:color w:val="auto"/>
        </w:rPr>
        <w:t>findings</w:t>
      </w:r>
      <w:r w:rsidR="00405062">
        <w:rPr>
          <w:rFonts w:hAnsi="Times New Roman" w:cs="Times New Roman"/>
          <w:color w:val="auto"/>
        </w:rPr>
        <w:t xml:space="preserve"> suggest that</w:t>
      </w:r>
      <w:r w:rsidR="002318AA" w:rsidRPr="00DD1543">
        <w:rPr>
          <w:rFonts w:hAnsi="Times New Roman" w:cs="Times New Roman"/>
          <w:color w:val="auto"/>
        </w:rPr>
        <w:t xml:space="preserve"> participants bound by other post-employment restrictions </w:t>
      </w:r>
      <w:r w:rsidR="00405062">
        <w:rPr>
          <w:rFonts w:hAnsi="Times New Roman" w:cs="Times New Roman"/>
          <w:color w:val="auto"/>
        </w:rPr>
        <w:t>ar</w:t>
      </w:r>
      <w:r w:rsidR="002318AA" w:rsidRPr="00DD1543">
        <w:rPr>
          <w:rFonts w:hAnsi="Times New Roman" w:cs="Times New Roman"/>
          <w:color w:val="auto"/>
        </w:rPr>
        <w:t xml:space="preserve">e less motivated to stay on task than those </w:t>
      </w:r>
      <w:r w:rsidR="00F074A6">
        <w:rPr>
          <w:rFonts w:hAnsi="Times New Roman" w:cs="Times New Roman"/>
          <w:color w:val="auto"/>
        </w:rPr>
        <w:t>not bound</w:t>
      </w:r>
      <w:r w:rsidR="002318AA" w:rsidRPr="00DD1543">
        <w:rPr>
          <w:rFonts w:hAnsi="Times New Roman" w:cs="Times New Roman"/>
          <w:color w:val="auto"/>
        </w:rPr>
        <w:t>.</w:t>
      </w:r>
      <w:r w:rsidR="002318AA" w:rsidRPr="00DD1543">
        <w:rPr>
          <w:rFonts w:eastAsia="Times New Roman" w:hAnsi="Times New Roman" w:cs="Times New Roman"/>
          <w:color w:val="auto"/>
          <w:vertAlign w:val="superscript"/>
        </w:rPr>
        <w:footnoteReference w:id="188"/>
      </w:r>
      <w:r w:rsidR="002318AA" w:rsidRPr="00DD1543">
        <w:rPr>
          <w:rFonts w:hAnsi="Times New Roman" w:cs="Times New Roman"/>
          <w:color w:val="auto"/>
        </w:rPr>
        <w:t xml:space="preserve"> Recent field data suppo</w:t>
      </w:r>
      <w:r w:rsidR="0078726F">
        <w:rPr>
          <w:rFonts w:hAnsi="Times New Roman" w:cs="Times New Roman"/>
          <w:color w:val="auto"/>
        </w:rPr>
        <w:t>rts these experimental findings,</w:t>
      </w:r>
      <w:r w:rsidR="008361E4">
        <w:rPr>
          <w:rFonts w:hAnsi="Times New Roman" w:cs="Times New Roman"/>
          <w:color w:val="auto"/>
        </w:rPr>
        <w:t xml:space="preserve"> </w:t>
      </w:r>
      <w:r w:rsidR="0078726F">
        <w:rPr>
          <w:rFonts w:hAnsi="Times New Roman" w:cs="Times New Roman"/>
          <w:color w:val="auto"/>
        </w:rPr>
        <w:t>showing that</w:t>
      </w:r>
      <w:r w:rsidR="00F37AF5">
        <w:rPr>
          <w:rFonts w:hAnsi="Times New Roman" w:cs="Times New Roman"/>
          <w:color w:val="auto"/>
        </w:rPr>
        <w:t xml:space="preserve">, contrary to traditional economic analysis, </w:t>
      </w:r>
      <w:r w:rsidR="002318AA" w:rsidRPr="00DD1543">
        <w:rPr>
          <w:rFonts w:hAnsi="Times New Roman" w:cs="Times New Roman"/>
          <w:color w:val="auto"/>
        </w:rPr>
        <w:t xml:space="preserve">companies invest </w:t>
      </w:r>
      <w:r w:rsidR="002318AA" w:rsidRPr="00DD1543">
        <w:rPr>
          <w:rFonts w:hAnsi="Times New Roman" w:cs="Times New Roman"/>
          <w:i/>
          <w:iCs/>
          <w:color w:val="auto"/>
        </w:rPr>
        <w:t>less</w:t>
      </w:r>
      <w:r w:rsidR="002318AA" w:rsidRPr="00DD1543">
        <w:rPr>
          <w:rFonts w:hAnsi="Times New Roman" w:cs="Times New Roman"/>
          <w:color w:val="auto"/>
        </w:rPr>
        <w:t xml:space="preserve"> in </w:t>
      </w:r>
      <w:r w:rsidR="00F37AF5">
        <w:rPr>
          <w:rFonts w:hAnsi="Times New Roman" w:cs="Times New Roman"/>
          <w:color w:val="auto"/>
        </w:rPr>
        <w:t xml:space="preserve">research and </w:t>
      </w:r>
      <w:r w:rsidR="002318AA" w:rsidRPr="00DD1543">
        <w:rPr>
          <w:rFonts w:hAnsi="Times New Roman" w:cs="Times New Roman"/>
          <w:color w:val="auto"/>
        </w:rPr>
        <w:t>human capital development when non-competes are strongly enforced, providing further evidence that investment decisions are affected by workers themselves in their assessments on their own ability to move to, or to be recruited by, a different company.</w:t>
      </w:r>
      <w:r w:rsidR="0078726F" w:rsidRPr="00DD1543">
        <w:rPr>
          <w:rFonts w:eastAsia="Times New Roman" w:hAnsi="Times New Roman" w:cs="Times New Roman"/>
          <w:color w:val="auto"/>
          <w:vertAlign w:val="superscript"/>
        </w:rPr>
        <w:footnoteReference w:id="189"/>
      </w:r>
      <w:r w:rsidR="008361E4">
        <w:rPr>
          <w:rFonts w:hAnsi="Times New Roman" w:cs="Times New Roman"/>
          <w:color w:val="auto"/>
        </w:rPr>
        <w:t xml:space="preserve"> </w:t>
      </w:r>
      <w:r w:rsidR="0078726F">
        <w:rPr>
          <w:rFonts w:hAnsi="Times New Roman" w:cs="Times New Roman"/>
          <w:color w:val="auto"/>
        </w:rPr>
        <w:t xml:space="preserve">These findings suggest that </w:t>
      </w:r>
      <w:r w:rsidR="00F37AF5">
        <w:rPr>
          <w:rFonts w:hAnsi="Times New Roman" w:cs="Times New Roman"/>
          <w:color w:val="auto"/>
        </w:rPr>
        <w:t xml:space="preserve">the new </w:t>
      </w:r>
      <w:r w:rsidR="0078726F">
        <w:rPr>
          <w:rFonts w:hAnsi="Times New Roman" w:cs="Times New Roman"/>
          <w:color w:val="auto"/>
        </w:rPr>
        <w:t>c</w:t>
      </w:r>
      <w:r w:rsidR="0042237A">
        <w:rPr>
          <w:rFonts w:hAnsi="Times New Roman" w:cs="Times New Roman"/>
          <w:color w:val="auto"/>
        </w:rPr>
        <w:t xml:space="preserve">ognitive </w:t>
      </w:r>
      <w:r w:rsidR="00F37AF5">
        <w:rPr>
          <w:rFonts w:hAnsi="Times New Roman" w:cs="Times New Roman"/>
          <w:color w:val="auto"/>
        </w:rPr>
        <w:t>property</w:t>
      </w:r>
      <w:r w:rsidR="0078726F">
        <w:rPr>
          <w:rFonts w:hAnsi="Times New Roman" w:cs="Times New Roman"/>
          <w:color w:val="auto"/>
        </w:rPr>
        <w:t>, which strip</w:t>
      </w:r>
      <w:r w:rsidR="00F37AF5">
        <w:rPr>
          <w:rFonts w:hAnsi="Times New Roman" w:cs="Times New Roman"/>
          <w:color w:val="auto"/>
        </w:rPr>
        <w:t>s</w:t>
      </w:r>
      <w:r w:rsidR="0078726F">
        <w:rPr>
          <w:rFonts w:hAnsi="Times New Roman" w:cs="Times New Roman"/>
          <w:color w:val="auto"/>
        </w:rPr>
        <w:t xml:space="preserve"> employees from ownership over their human capital,</w:t>
      </w:r>
      <w:r w:rsidR="008361E4">
        <w:rPr>
          <w:rFonts w:hAnsi="Times New Roman" w:cs="Times New Roman"/>
          <w:color w:val="auto"/>
        </w:rPr>
        <w:t xml:space="preserve"> </w:t>
      </w:r>
      <w:r w:rsidR="0042237A">
        <w:t xml:space="preserve">not only </w:t>
      </w:r>
      <w:r w:rsidR="008361E4">
        <w:t>restrict</w:t>
      </w:r>
      <w:r w:rsidR="00F4578C">
        <w:t>s</w:t>
      </w:r>
      <w:r w:rsidR="008361E4">
        <w:t xml:space="preserve"> </w:t>
      </w:r>
      <w:r w:rsidR="0042237A">
        <w:t xml:space="preserve">mobility and knowledge flow but also </w:t>
      </w:r>
      <w:r w:rsidR="00F37AF5">
        <w:t>reduces</w:t>
      </w:r>
      <w:r w:rsidR="0042237A" w:rsidRPr="00385116">
        <w:t xml:space="preserve"> </w:t>
      </w:r>
      <w:r w:rsidR="00F4578C">
        <w:t xml:space="preserve">incentives to innovate. </w:t>
      </w:r>
    </w:p>
    <w:p w14:paraId="545680D6" w14:textId="77777777" w:rsidR="00F3636B" w:rsidRPr="00DD1543" w:rsidRDefault="00F3636B" w:rsidP="00F37AF5">
      <w:pPr>
        <w:ind w:firstLine="0"/>
        <w:rPr>
          <w:rFonts w:hAnsi="Times New Roman" w:cs="Times New Roman"/>
          <w:color w:val="auto"/>
        </w:rPr>
      </w:pPr>
    </w:p>
    <w:p w14:paraId="15996331" w14:textId="4CADE56E" w:rsidR="007F1F19" w:rsidRPr="00DD1543" w:rsidRDefault="00F37AF5" w:rsidP="009342B8">
      <w:pPr>
        <w:ind w:firstLine="720"/>
      </w:pPr>
      <w:r>
        <w:t>N</w:t>
      </w:r>
      <w:r w:rsidR="002318AA" w:rsidRPr="00DD1543">
        <w:t>ew economic models</w:t>
      </w:r>
      <w:r>
        <w:t xml:space="preserve"> further</w:t>
      </w:r>
      <w:r w:rsidR="002318AA" w:rsidRPr="00DD1543">
        <w:t xml:space="preserve"> help explain why people</w:t>
      </w:r>
      <w:r w:rsidR="00774055">
        <w:t xml:space="preserve"> are more motivated to</w:t>
      </w:r>
      <w:r w:rsidR="002318AA" w:rsidRPr="00DD1543">
        <w:t xml:space="preserve"> invest in their own human capital </w:t>
      </w:r>
      <w:r w:rsidR="00774055">
        <w:t xml:space="preserve">when they do not </w:t>
      </w:r>
      <w:r w:rsidR="002318AA" w:rsidRPr="00DD1543">
        <w:t xml:space="preserve">know the </w:t>
      </w:r>
      <w:r w:rsidR="00774055">
        <w:t>precise job</w:t>
      </w:r>
      <w:r w:rsidR="002318AA" w:rsidRPr="00DD1543">
        <w:t xml:space="preserve"> that </w:t>
      </w:r>
      <w:r w:rsidR="00774055">
        <w:t xml:space="preserve">they </w:t>
      </w:r>
      <w:r w:rsidR="002318AA" w:rsidRPr="00DD1543">
        <w:t xml:space="preserve">will eventually </w:t>
      </w:r>
      <w:r w:rsidR="00774055">
        <w:t>hold.</w:t>
      </w:r>
      <w:r w:rsidR="00774055" w:rsidRPr="00DD1543">
        <w:rPr>
          <w:vertAlign w:val="superscript"/>
        </w:rPr>
        <w:footnoteReference w:id="190"/>
      </w:r>
      <w:r w:rsidR="008361E4">
        <w:t xml:space="preserve"> </w:t>
      </w:r>
      <w:r>
        <w:t>C</w:t>
      </w:r>
      <w:r w:rsidR="002318AA" w:rsidRPr="00DD1543">
        <w:t>ompanies</w:t>
      </w:r>
      <w:r w:rsidR="00774055">
        <w:t xml:space="preserve"> </w:t>
      </w:r>
      <w:r>
        <w:t>are</w:t>
      </w:r>
      <w:r w:rsidR="00173E41">
        <w:t xml:space="preserve"> also</w:t>
      </w:r>
      <w:r>
        <w:t xml:space="preserve"> incentivized to </w:t>
      </w:r>
      <w:r w:rsidR="00244C36">
        <w:t xml:space="preserve">invest </w:t>
      </w:r>
      <w:r>
        <w:t>in</w:t>
      </w:r>
      <w:r w:rsidR="002318AA" w:rsidRPr="00DD1543">
        <w:t xml:space="preserve"> technology and </w:t>
      </w:r>
      <w:r>
        <w:t xml:space="preserve">skill </w:t>
      </w:r>
      <w:r w:rsidR="00774055">
        <w:t xml:space="preserve">development </w:t>
      </w:r>
      <w:r w:rsidR="00173E41">
        <w:t>when they do not</w:t>
      </w:r>
      <w:r w:rsidR="00173E41" w:rsidRPr="00DD1543">
        <w:t xml:space="preserve"> </w:t>
      </w:r>
      <w:r w:rsidR="002318AA" w:rsidRPr="00DD1543">
        <w:t xml:space="preserve">know whom they </w:t>
      </w:r>
      <w:r>
        <w:t xml:space="preserve">will continue to </w:t>
      </w:r>
      <w:r w:rsidR="008361E4">
        <w:t>hire</w:t>
      </w:r>
      <w:r w:rsidR="002318AA" w:rsidRPr="00DD1543">
        <w:t>.</w:t>
      </w:r>
      <w:r w:rsidR="002318AA" w:rsidRPr="00DD1543">
        <w:rPr>
          <w:vertAlign w:val="superscript"/>
        </w:rPr>
        <w:footnoteReference w:id="191"/>
      </w:r>
      <w:r w:rsidR="00055A38">
        <w:t xml:space="preserve"> </w:t>
      </w:r>
      <w:r w:rsidR="00774055">
        <w:t xml:space="preserve">MIT economist Daron </w:t>
      </w:r>
      <w:r w:rsidR="002318AA" w:rsidRPr="00DD1543">
        <w:t xml:space="preserve">Acemoglu describes the </w:t>
      </w:r>
      <w:r w:rsidR="00774055">
        <w:t xml:space="preserve">fertile </w:t>
      </w:r>
      <w:r w:rsidR="002318AA" w:rsidRPr="00DD1543">
        <w:t>conditions of uncertainty as forming a virtuous circle</w:t>
      </w:r>
      <w:r>
        <w:t xml:space="preserve"> of human capital development</w:t>
      </w:r>
      <w:r w:rsidR="002318AA" w:rsidRPr="00DD1543">
        <w:t xml:space="preserve">: when workers invest more in their human capital, businesses will invest more </w:t>
      </w:r>
      <w:r>
        <w:t xml:space="preserve">in innovation </w:t>
      </w:r>
      <w:r w:rsidR="002318AA" w:rsidRPr="00DD1543">
        <w:t>because of the prospect of acquiring good talent. Consequently, workers will invest more in their human cap</w:t>
      </w:r>
      <w:r>
        <w:t xml:space="preserve">ital as they may end up in one, </w:t>
      </w:r>
      <w:r w:rsidR="002318AA" w:rsidRPr="00DD1543">
        <w:t xml:space="preserve">or </w:t>
      </w:r>
      <w:r>
        <w:t>several,</w:t>
      </w:r>
      <w:r w:rsidR="002318AA" w:rsidRPr="00DD1543">
        <w:t xml:space="preserve"> of these companies. </w:t>
      </w:r>
      <w:r w:rsidR="002318AA" w:rsidRPr="009342B8">
        <w:rPr>
          <w:rFonts w:hAnsi="Times New Roman" w:cs="Times New Roman"/>
        </w:rPr>
        <w:t xml:space="preserve">In other words, in </w:t>
      </w:r>
      <w:r w:rsidR="00C2392B">
        <w:rPr>
          <w:rFonts w:hAnsi="Times New Roman" w:cs="Times New Roman"/>
        </w:rPr>
        <w:t>Acemoglu’s</w:t>
      </w:r>
      <w:r w:rsidR="002318AA" w:rsidRPr="009071B5">
        <w:rPr>
          <w:rFonts w:hAnsi="Times New Roman" w:cs="Times New Roman"/>
        </w:rPr>
        <w:t xml:space="preserve"> model</w:t>
      </w:r>
      <w:r w:rsidR="002318AA" w:rsidRPr="009342B8">
        <w:rPr>
          <w:rFonts w:hAnsi="Times New Roman" w:cs="Times New Roman"/>
        </w:rPr>
        <w:t>, the likelihood of finding good employees creates incentives for overall investments in human capital</w:t>
      </w:r>
      <w:r w:rsidR="00E30C6F" w:rsidRPr="009342B8">
        <w:rPr>
          <w:rFonts w:hAnsi="Times New Roman" w:cs="Times New Roman"/>
        </w:rPr>
        <w:t>.</w:t>
      </w:r>
      <w:r w:rsidR="008361E4" w:rsidRPr="009342B8">
        <w:rPr>
          <w:rFonts w:hAnsi="Times New Roman" w:cs="Times New Roman"/>
        </w:rPr>
        <w:t xml:space="preserve"> </w:t>
      </w:r>
      <w:r w:rsidR="008361E4">
        <w:t xml:space="preserve">Yet, </w:t>
      </w:r>
      <w:r w:rsidR="00F20044">
        <w:t>e</w:t>
      </w:r>
      <w:r w:rsidR="002318AA" w:rsidRPr="00DD1543">
        <w:t xml:space="preserve">mpirical research shows that in most places there is </w:t>
      </w:r>
      <w:r w:rsidR="0023781C">
        <w:t xml:space="preserve">an </w:t>
      </w:r>
      <w:r w:rsidR="002318AA" w:rsidRPr="00DD1543">
        <w:t>under-investment in human capital.</w:t>
      </w:r>
      <w:r w:rsidR="002318AA" w:rsidRPr="00DD1543">
        <w:rPr>
          <w:vertAlign w:val="superscript"/>
        </w:rPr>
        <w:footnoteReference w:id="192"/>
      </w:r>
      <w:r w:rsidR="002318AA" w:rsidRPr="00DD1543">
        <w:t xml:space="preserve"> The trend toward expanding cognitive property can help explain this under-investment: </w:t>
      </w:r>
      <w:r w:rsidR="00774055">
        <w:t>the new cognitive property</w:t>
      </w:r>
      <w:r w:rsidR="008361E4">
        <w:t xml:space="preserve"> </w:t>
      </w:r>
      <w:r w:rsidR="002318AA" w:rsidRPr="00DD1543">
        <w:t xml:space="preserve">not only </w:t>
      </w:r>
      <w:r w:rsidR="008361E4">
        <w:t>impedes</w:t>
      </w:r>
      <w:r w:rsidR="002318AA" w:rsidRPr="00DD1543">
        <w:t xml:space="preserve"> the flow of knowledge and reduce</w:t>
      </w:r>
      <w:r>
        <w:t>s</w:t>
      </w:r>
      <w:r w:rsidR="002318AA" w:rsidRPr="00DD1543">
        <w:t xml:space="preserve"> the positive effects of market uncertainty</w:t>
      </w:r>
      <w:r w:rsidR="00C17601">
        <w:t>,</w:t>
      </w:r>
      <w:r w:rsidR="002318AA" w:rsidRPr="00DD1543">
        <w:t xml:space="preserve"> but also </w:t>
      </w:r>
      <w:r w:rsidR="008361E4">
        <w:t>undercuts</w:t>
      </w:r>
      <w:r w:rsidR="008361E4" w:rsidRPr="00DD1543">
        <w:t xml:space="preserve"> </w:t>
      </w:r>
      <w:r w:rsidR="002318AA" w:rsidRPr="00DD1543">
        <w:t>the likelihood of being able to employ good employees. Consequently, the incentives</w:t>
      </w:r>
      <w:r w:rsidR="00774055">
        <w:t xml:space="preserve"> and motivation</w:t>
      </w:r>
      <w:r w:rsidR="002318AA" w:rsidRPr="00DD1543">
        <w:t xml:space="preserve"> to invest in human capital are lowered.</w:t>
      </w:r>
    </w:p>
    <w:p w14:paraId="387F1349" w14:textId="77777777" w:rsidR="00F3636B" w:rsidRDefault="00F3636B" w:rsidP="00B120C9">
      <w:pPr>
        <w:ind w:firstLine="720"/>
        <w:rPr>
          <w:rFonts w:hAnsi="Times New Roman" w:cs="Times New Roman"/>
          <w:color w:val="auto"/>
        </w:rPr>
      </w:pPr>
    </w:p>
    <w:p w14:paraId="7E13B21B" w14:textId="77777777" w:rsidR="007F1F19" w:rsidRDefault="00774055" w:rsidP="00B120C9">
      <w:pPr>
        <w:ind w:firstLine="720"/>
        <w:rPr>
          <w:rFonts w:hAnsi="Times New Roman" w:cs="Times New Roman"/>
          <w:color w:val="auto"/>
        </w:rPr>
      </w:pPr>
      <w:r>
        <w:rPr>
          <w:rFonts w:hAnsi="Times New Roman" w:cs="Times New Roman"/>
          <w:color w:val="auto"/>
        </w:rPr>
        <w:t xml:space="preserve">Finally, the background rules that shape ownership and control over human capital also impact the </w:t>
      </w:r>
      <w:r w:rsidR="00301907">
        <w:rPr>
          <w:rFonts w:hAnsi="Times New Roman" w:cs="Times New Roman"/>
          <w:color w:val="auto"/>
        </w:rPr>
        <w:t xml:space="preserve">degree </w:t>
      </w:r>
      <w:r w:rsidR="00F37AF5">
        <w:rPr>
          <w:rFonts w:hAnsi="Times New Roman" w:cs="Times New Roman"/>
          <w:color w:val="auto"/>
        </w:rPr>
        <w:t>to</w:t>
      </w:r>
      <w:r w:rsidR="00301907">
        <w:rPr>
          <w:rFonts w:hAnsi="Times New Roman" w:cs="Times New Roman"/>
          <w:color w:val="auto"/>
        </w:rPr>
        <w:t xml:space="preserve"> which knowledge </w:t>
      </w:r>
      <w:r w:rsidR="00F37AF5">
        <w:rPr>
          <w:rFonts w:hAnsi="Times New Roman" w:cs="Times New Roman"/>
          <w:color w:val="auto"/>
        </w:rPr>
        <w:t>can be</w:t>
      </w:r>
      <w:r w:rsidR="00301907">
        <w:rPr>
          <w:rFonts w:hAnsi="Times New Roman" w:cs="Times New Roman"/>
          <w:color w:val="auto"/>
        </w:rPr>
        <w:t xml:space="preserve"> disruptive and used to generate new ideas. </w:t>
      </w:r>
      <w:r w:rsidR="002318AA" w:rsidRPr="00DD1543">
        <w:rPr>
          <w:rFonts w:hAnsi="Times New Roman" w:cs="Times New Roman"/>
          <w:color w:val="auto"/>
        </w:rPr>
        <w:t xml:space="preserve">Phenomena like </w:t>
      </w:r>
      <w:r w:rsidR="002318AA" w:rsidRPr="00DD1543">
        <w:rPr>
          <w:rFonts w:hAnsi="Times New Roman" w:cs="Times New Roman"/>
          <w:i/>
          <w:iCs/>
          <w:color w:val="auto"/>
        </w:rPr>
        <w:t>Not Invented Here</w:t>
      </w:r>
      <w:r w:rsidR="002318AA" w:rsidRPr="00DD1543">
        <w:rPr>
          <w:rFonts w:hAnsi="Times New Roman" w:cs="Times New Roman"/>
          <w:color w:val="auto"/>
        </w:rPr>
        <w:t xml:space="preserve"> (NIH), an institutional pathology that prevents groups from benefiting from outside knowledge and </w:t>
      </w:r>
      <w:r w:rsidR="002318AA" w:rsidRPr="00DD1543">
        <w:rPr>
          <w:rFonts w:hAnsi="Times New Roman" w:cs="Times New Roman"/>
          <w:i/>
          <w:iCs/>
          <w:color w:val="auto"/>
        </w:rPr>
        <w:t xml:space="preserve">groupthink – </w:t>
      </w:r>
      <w:r w:rsidR="002318AA" w:rsidRPr="00DD1543">
        <w:rPr>
          <w:rFonts w:hAnsi="Times New Roman" w:cs="Times New Roman"/>
          <w:color w:val="auto"/>
        </w:rPr>
        <w:t>where cohesive groups overlook important alternatives because of the desire for consensus and conformity - are mitigated by the flow of “new blood” to the organization.</w:t>
      </w:r>
      <w:r w:rsidR="002318AA" w:rsidRPr="00DD1543">
        <w:rPr>
          <w:rFonts w:hAnsi="Times New Roman" w:cs="Times New Roman"/>
          <w:color w:val="auto"/>
          <w:vertAlign w:val="superscript"/>
        </w:rPr>
        <w:footnoteReference w:id="193"/>
      </w:r>
      <w:r w:rsidR="002318AA" w:rsidRPr="00DD1543">
        <w:rPr>
          <w:rFonts w:hAnsi="Times New Roman" w:cs="Times New Roman"/>
          <w:color w:val="auto"/>
        </w:rPr>
        <w:t xml:space="preserve"> Even in today’s globalized market, research shows that firms, often to their detriment, overlook outside ideas and solutions simply from a not-invented-here mindset and because groups become entrenched in </w:t>
      </w:r>
      <w:r w:rsidR="008361E4">
        <w:rPr>
          <w:rFonts w:hAnsi="Times New Roman" w:cs="Times New Roman"/>
          <w:color w:val="auto"/>
        </w:rPr>
        <w:t>traditional methods</w:t>
      </w:r>
      <w:r w:rsidR="002318AA" w:rsidRPr="00DD1543">
        <w:rPr>
          <w:rFonts w:hAnsi="Times New Roman" w:cs="Times New Roman"/>
          <w:color w:val="auto"/>
        </w:rPr>
        <w:t>.</w:t>
      </w:r>
      <w:r w:rsidR="002318AA" w:rsidRPr="00DD1543">
        <w:rPr>
          <w:rFonts w:hAnsi="Times New Roman" w:cs="Times New Roman"/>
          <w:color w:val="auto"/>
          <w:vertAlign w:val="superscript"/>
        </w:rPr>
        <w:footnoteReference w:id="194"/>
      </w:r>
      <w:r w:rsidR="002318AA" w:rsidRPr="00DD1543">
        <w:rPr>
          <w:rFonts w:hAnsi="Times New Roman" w:cs="Times New Roman"/>
          <w:color w:val="auto"/>
        </w:rPr>
        <w:t xml:space="preserve"> This counter-productive lock-in happens in greater frequency where there is little turnover and companies are overly stable. In one study, teams with little turnover became progressively less productive.</w:t>
      </w:r>
      <w:r w:rsidR="002318AA" w:rsidRPr="00DD1543">
        <w:rPr>
          <w:rFonts w:hAnsi="Times New Roman" w:cs="Times New Roman"/>
          <w:color w:val="auto"/>
          <w:vertAlign w:val="superscript"/>
        </w:rPr>
        <w:footnoteReference w:id="195"/>
      </w:r>
      <w:r w:rsidR="002318AA" w:rsidRPr="00DD1543">
        <w:rPr>
          <w:rFonts w:hAnsi="Times New Roman" w:cs="Times New Roman"/>
          <w:color w:val="auto"/>
        </w:rPr>
        <w:t xml:space="preserve"> Firms in remote locations with stable personnel are more likely to draw upon the inventions of their own firm and to draw upon the same set of prior inventions compared to firms in more diverse locations.</w:t>
      </w:r>
      <w:r w:rsidR="002318AA" w:rsidRPr="00DD1543">
        <w:rPr>
          <w:rFonts w:hAnsi="Times New Roman" w:cs="Times New Roman"/>
          <w:color w:val="auto"/>
          <w:vertAlign w:val="superscript"/>
        </w:rPr>
        <w:footnoteReference w:id="196"/>
      </w:r>
      <w:r w:rsidR="002318AA" w:rsidRPr="00DD1543">
        <w:rPr>
          <w:rFonts w:hAnsi="Times New Roman" w:cs="Times New Roman"/>
          <w:color w:val="auto"/>
        </w:rPr>
        <w:t xml:space="preserve"> From this perspective, cognitive property hinders institutional openness, the absorptive capacity of firms, and their ability to identify and make use of good ideas. </w:t>
      </w:r>
      <w:r w:rsidR="00B120C9" w:rsidRPr="00310CE6">
        <w:rPr>
          <w:rFonts w:hAnsi="Times New Roman" w:cs="Times New Roman"/>
          <w:color w:val="auto"/>
        </w:rPr>
        <w:t>The rich texture of knowledge</w:t>
      </w:r>
      <w:r w:rsidR="00310CE6" w:rsidRPr="00310CE6">
        <w:rPr>
          <w:rFonts w:hAnsi="Times New Roman" w:cs="Times New Roman"/>
          <w:color w:val="auto"/>
        </w:rPr>
        <w:t>,</w:t>
      </w:r>
      <w:r w:rsidR="00B120C9" w:rsidRPr="00310CE6">
        <w:rPr>
          <w:rFonts w:hAnsi="Times New Roman" w:cs="Times New Roman"/>
          <w:color w:val="auto"/>
        </w:rPr>
        <w:t xml:space="preserve"> an economic resource</w:t>
      </w:r>
      <w:r w:rsidR="00310CE6" w:rsidRPr="00310CE6">
        <w:rPr>
          <w:rFonts w:hAnsi="Times New Roman" w:cs="Times New Roman"/>
          <w:color w:val="auto"/>
        </w:rPr>
        <w:t>,</w:t>
      </w:r>
      <w:r w:rsidR="00B120C9" w:rsidRPr="00310CE6">
        <w:rPr>
          <w:rFonts w:hAnsi="Times New Roman" w:cs="Times New Roman"/>
          <w:color w:val="auto"/>
        </w:rPr>
        <w:t xml:space="preserve"> is diminished from both the motivational and transformative perspectives.</w:t>
      </w:r>
    </w:p>
    <w:p w14:paraId="54A4A6CD" w14:textId="77777777" w:rsidR="00B120C9" w:rsidRPr="00DD1543" w:rsidRDefault="00B120C9" w:rsidP="00F37AF5">
      <w:pPr>
        <w:ind w:firstLine="720"/>
        <w:rPr>
          <w:rFonts w:hAnsi="Times New Roman" w:cs="Times New Roman"/>
          <w:color w:val="auto"/>
        </w:rPr>
      </w:pPr>
    </w:p>
    <w:p w14:paraId="4B9FDD04" w14:textId="77777777" w:rsidR="007F1F19" w:rsidRPr="00DD1543" w:rsidRDefault="007F1F19" w:rsidP="00E76FCE">
      <w:pPr>
        <w:pStyle w:val="Heading1"/>
        <w:jc w:val="both"/>
        <w:rPr>
          <w:rFonts w:eastAsia="Times New Roman Bold"/>
        </w:rPr>
      </w:pPr>
    </w:p>
    <w:p w14:paraId="4EEEB46D" w14:textId="77777777" w:rsidR="00121D12" w:rsidRDefault="002318AA" w:rsidP="00E76FCE">
      <w:pPr>
        <w:pStyle w:val="Heading1"/>
        <w:jc w:val="both"/>
      </w:pPr>
      <w:bookmarkStart w:id="31" w:name="_Toc399167402"/>
      <w:r w:rsidRPr="00DD1543">
        <w:rPr>
          <w:rFonts w:eastAsia="Arial Unicode MS"/>
        </w:rPr>
        <w:t>II</w:t>
      </w:r>
      <w:r w:rsidR="0003477F">
        <w:rPr>
          <w:rFonts w:eastAsia="Arial Unicode MS"/>
        </w:rPr>
        <w:t>I. The Third Enclosure Movement</w:t>
      </w:r>
      <w:bookmarkEnd w:id="31"/>
    </w:p>
    <w:p w14:paraId="368C8880" w14:textId="77777777" w:rsidR="00121D12" w:rsidRDefault="00121D12" w:rsidP="00E76FCE">
      <w:pPr>
        <w:pStyle w:val="Heading1"/>
        <w:jc w:val="both"/>
      </w:pPr>
    </w:p>
    <w:p w14:paraId="485D543E" w14:textId="77777777" w:rsidR="0003477F" w:rsidRPr="00121D12" w:rsidRDefault="00121D12" w:rsidP="00E76FCE">
      <w:pPr>
        <w:pStyle w:val="Heading2"/>
        <w:jc w:val="both"/>
        <w:rPr>
          <w:rFonts w:eastAsia="Times New Roman Bold"/>
        </w:rPr>
      </w:pPr>
      <w:bookmarkStart w:id="32" w:name="_Toc399167403"/>
      <w:r>
        <w:rPr>
          <w:rFonts w:eastAsia="Arial Unicode MS" w:hAnsi="Arial Unicode MS" w:cs="Arial Unicode MS"/>
          <w:smallCaps/>
        </w:rPr>
        <w:t xml:space="preserve">A. </w:t>
      </w:r>
      <w:r w:rsidR="0003477F" w:rsidRPr="00121D12">
        <w:rPr>
          <w:rFonts w:eastAsia="Times New Roman Bold"/>
        </w:rPr>
        <w:t>From Monopoly to Property</w:t>
      </w:r>
      <w:bookmarkEnd w:id="32"/>
    </w:p>
    <w:p w14:paraId="3F759BC6" w14:textId="77777777" w:rsidR="00E92C27" w:rsidRPr="00E92C27" w:rsidRDefault="00E92C27" w:rsidP="00E92C27">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315" w:lineRule="atLeast"/>
        <w:ind w:firstLine="0"/>
        <w:jc w:val="left"/>
        <w:rPr>
          <w:rFonts w:eastAsia="Times New Roman" w:hAnsi="Times New Roman" w:cs="Times New Roman"/>
          <w:i/>
          <w:iCs/>
          <w:color w:val="252525"/>
          <w:bdr w:val="none" w:sz="0" w:space="0" w:color="auto"/>
          <w:lang w:bidi="he-IL"/>
        </w:rPr>
      </w:pPr>
      <w:r w:rsidRPr="00E92C27">
        <w:rPr>
          <w:rFonts w:eastAsia="Times New Roman" w:hAnsi="Times New Roman" w:cs="Times New Roman"/>
          <w:i/>
          <w:iCs/>
          <w:color w:val="252525"/>
          <w:bdr w:val="none" w:sz="0" w:space="0" w:color="auto"/>
          <w:lang w:bidi="he-IL"/>
        </w:rPr>
        <w:t>The law locks up the man or woman</w:t>
      </w:r>
    </w:p>
    <w:p w14:paraId="1DE5DF30" w14:textId="77777777" w:rsidR="00E92C27" w:rsidRPr="00E92C27" w:rsidRDefault="00E92C27" w:rsidP="00E92C27">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315" w:lineRule="atLeast"/>
        <w:ind w:firstLine="0"/>
        <w:jc w:val="left"/>
        <w:rPr>
          <w:rFonts w:eastAsia="Times New Roman" w:hAnsi="Times New Roman" w:cs="Times New Roman"/>
          <w:i/>
          <w:iCs/>
          <w:color w:val="252525"/>
          <w:bdr w:val="none" w:sz="0" w:space="0" w:color="auto"/>
          <w:lang w:bidi="he-IL"/>
        </w:rPr>
      </w:pPr>
      <w:r w:rsidRPr="00E92C27">
        <w:rPr>
          <w:rFonts w:eastAsia="Times New Roman" w:hAnsi="Times New Roman" w:cs="Times New Roman"/>
          <w:i/>
          <w:iCs/>
          <w:color w:val="252525"/>
          <w:bdr w:val="none" w:sz="0" w:space="0" w:color="auto"/>
          <w:lang w:bidi="he-IL"/>
        </w:rPr>
        <w:t>Who steals the goose from off the common</w:t>
      </w:r>
    </w:p>
    <w:p w14:paraId="16AFE944" w14:textId="77777777" w:rsidR="00E92C27" w:rsidRPr="00E92C27" w:rsidRDefault="00E92C27" w:rsidP="00E92C27">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315" w:lineRule="atLeast"/>
        <w:ind w:firstLine="0"/>
        <w:jc w:val="left"/>
        <w:rPr>
          <w:rFonts w:eastAsia="Times New Roman" w:hAnsi="Times New Roman" w:cs="Times New Roman"/>
          <w:i/>
          <w:iCs/>
          <w:color w:val="252525"/>
          <w:bdr w:val="none" w:sz="0" w:space="0" w:color="auto"/>
          <w:lang w:bidi="he-IL"/>
        </w:rPr>
      </w:pPr>
      <w:r w:rsidRPr="00E92C27">
        <w:rPr>
          <w:rFonts w:eastAsia="Times New Roman" w:hAnsi="Times New Roman" w:cs="Times New Roman"/>
          <w:i/>
          <w:iCs/>
          <w:color w:val="252525"/>
          <w:bdr w:val="none" w:sz="0" w:space="0" w:color="auto"/>
          <w:lang w:bidi="he-IL"/>
        </w:rPr>
        <w:t>But leaves the greater villain loose</w:t>
      </w:r>
    </w:p>
    <w:p w14:paraId="75948B59" w14:textId="77777777" w:rsidR="00E92C27" w:rsidRPr="00E92C27" w:rsidRDefault="00E92C27" w:rsidP="00E92C27">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315" w:lineRule="atLeast"/>
        <w:ind w:firstLine="0"/>
        <w:jc w:val="left"/>
        <w:rPr>
          <w:rFonts w:eastAsia="Times New Roman" w:hAnsi="Times New Roman" w:cs="Times New Roman"/>
          <w:i/>
          <w:iCs/>
          <w:color w:val="252525"/>
          <w:bdr w:val="none" w:sz="0" w:space="0" w:color="auto"/>
          <w:lang w:bidi="he-IL"/>
        </w:rPr>
      </w:pPr>
      <w:r w:rsidRPr="00E92C27">
        <w:rPr>
          <w:rFonts w:eastAsia="Times New Roman" w:hAnsi="Times New Roman" w:cs="Times New Roman"/>
          <w:i/>
          <w:iCs/>
          <w:color w:val="252525"/>
          <w:bdr w:val="none" w:sz="0" w:space="0" w:color="auto"/>
          <w:lang w:bidi="he-IL"/>
        </w:rPr>
        <w:t>Who steals the common from off the goose.</w:t>
      </w:r>
      <w:r>
        <w:rPr>
          <w:rStyle w:val="FootnoteReference"/>
          <w:rFonts w:eastAsia="Times New Roman" w:hAnsi="Times New Roman" w:cs="Times New Roman"/>
          <w:i/>
          <w:iCs/>
          <w:color w:val="252525"/>
          <w:bdr w:val="none" w:sz="0" w:space="0" w:color="auto"/>
          <w:lang w:bidi="he-IL"/>
        </w:rPr>
        <w:footnoteReference w:id="197"/>
      </w:r>
    </w:p>
    <w:p w14:paraId="5EB2D7A1" w14:textId="77777777" w:rsidR="00E92C27" w:rsidRPr="00E92C27" w:rsidRDefault="00E92C27" w:rsidP="00E92C27">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315" w:lineRule="atLeast"/>
        <w:ind w:firstLine="0"/>
        <w:jc w:val="left"/>
        <w:rPr>
          <w:rFonts w:ascii="Arial" w:eastAsia="Times New Roman" w:hAnsi="Arial" w:cs="Arial"/>
          <w:color w:val="252525"/>
          <w:sz w:val="21"/>
          <w:szCs w:val="21"/>
          <w:bdr w:val="none" w:sz="0" w:space="0" w:color="auto"/>
          <w:lang w:bidi="he-IL"/>
        </w:rPr>
      </w:pPr>
    </w:p>
    <w:p w14:paraId="0E0736E6" w14:textId="77777777" w:rsidR="00D94793" w:rsidRDefault="00CF2080" w:rsidP="003C1219">
      <w:pPr>
        <w:spacing w:before="100" w:after="100"/>
        <w:ind w:firstLine="720"/>
        <w:rPr>
          <w:rFonts w:hAnsi="Times New Roman" w:cs="Times New Roman"/>
          <w:color w:val="auto"/>
        </w:rPr>
      </w:pPr>
      <w:r w:rsidRPr="00E8368E">
        <w:rPr>
          <w:rFonts w:hAnsi="Times New Roman" w:cs="Times New Roman"/>
          <w:color w:val="auto"/>
        </w:rPr>
        <w:t>In 1964, Charles Reich wrote “</w:t>
      </w:r>
      <w:r w:rsidR="002465F2">
        <w:rPr>
          <w:rFonts w:hAnsi="Times New Roman" w:cs="Times New Roman"/>
          <w:color w:val="auto"/>
        </w:rPr>
        <w:t>t</w:t>
      </w:r>
      <w:r w:rsidRPr="00E8368E">
        <w:rPr>
          <w:rFonts w:hAnsi="Times New Roman" w:cs="Times New Roman"/>
          <w:color w:val="auto"/>
        </w:rPr>
        <w:t>he institution called property guards the trouble</w:t>
      </w:r>
      <w:r w:rsidR="0078726F">
        <w:rPr>
          <w:rFonts w:hAnsi="Times New Roman" w:cs="Times New Roman"/>
          <w:color w:val="auto"/>
        </w:rPr>
        <w:t>d</w:t>
      </w:r>
      <w:r w:rsidRPr="00E8368E">
        <w:rPr>
          <w:rFonts w:hAnsi="Times New Roman" w:cs="Times New Roman"/>
          <w:color w:val="auto"/>
        </w:rPr>
        <w:t xml:space="preserve"> boundary between individual man and the state.”</w:t>
      </w:r>
      <w:r w:rsidR="00273491" w:rsidRPr="00E8368E">
        <w:rPr>
          <w:rStyle w:val="FootnoteReference"/>
          <w:rFonts w:hAnsi="Times New Roman" w:cs="Times New Roman"/>
          <w:color w:val="auto"/>
        </w:rPr>
        <w:footnoteReference w:id="198"/>
      </w:r>
      <w:r w:rsidR="008361E4">
        <w:rPr>
          <w:rFonts w:hAnsi="Times New Roman" w:cs="Times New Roman"/>
          <w:color w:val="auto"/>
        </w:rPr>
        <w:t xml:space="preserve"> </w:t>
      </w:r>
      <w:r w:rsidR="00273491" w:rsidRPr="00E8368E">
        <w:rPr>
          <w:rFonts w:hAnsi="Times New Roman" w:cs="Times New Roman"/>
          <w:color w:val="auto"/>
        </w:rPr>
        <w:t xml:space="preserve">Reich defined “new property” as intangibles </w:t>
      </w:r>
      <w:r w:rsidR="00D64CF5">
        <w:rPr>
          <w:rFonts w:hAnsi="Times New Roman" w:cs="Times New Roman"/>
          <w:color w:val="auto"/>
        </w:rPr>
        <w:t>l</w:t>
      </w:r>
      <w:r w:rsidR="00B120C9">
        <w:rPr>
          <w:rFonts w:hAnsi="Times New Roman" w:cs="Times New Roman"/>
          <w:color w:val="auto"/>
        </w:rPr>
        <w:t xml:space="preserve">ike income, </w:t>
      </w:r>
      <w:r w:rsidR="003C1219">
        <w:rPr>
          <w:rFonts w:hAnsi="Times New Roman" w:cs="Times New Roman"/>
          <w:color w:val="auto"/>
        </w:rPr>
        <w:t>benefits,</w:t>
      </w:r>
      <w:r w:rsidR="00D64CF5">
        <w:rPr>
          <w:rFonts w:hAnsi="Times New Roman" w:cs="Times New Roman"/>
          <w:color w:val="auto"/>
        </w:rPr>
        <w:t xml:space="preserve"> </w:t>
      </w:r>
      <w:r w:rsidR="00273491" w:rsidRPr="00E8368E">
        <w:rPr>
          <w:rFonts w:hAnsi="Times New Roman" w:cs="Times New Roman"/>
          <w:color w:val="auto"/>
        </w:rPr>
        <w:t>oc</w:t>
      </w:r>
      <w:r w:rsidR="00D64CF5">
        <w:rPr>
          <w:rFonts w:hAnsi="Times New Roman" w:cs="Times New Roman"/>
          <w:color w:val="auto"/>
        </w:rPr>
        <w:t>cupational licenses and franchises</w:t>
      </w:r>
      <w:r w:rsidR="00273491" w:rsidRPr="00E8368E">
        <w:rPr>
          <w:rFonts w:hAnsi="Times New Roman" w:cs="Times New Roman"/>
          <w:color w:val="auto"/>
        </w:rPr>
        <w:t xml:space="preserve"> that were all governed by the legal rules and directed the distribution of wealth in society. </w:t>
      </w:r>
      <w:r w:rsidR="00A64DD3">
        <w:rPr>
          <w:rFonts w:hAnsi="Times New Roman" w:cs="Times New Roman"/>
          <w:color w:val="auto"/>
        </w:rPr>
        <w:t xml:space="preserve">Reich argued that the new reliance of </w:t>
      </w:r>
      <w:r w:rsidR="00DA20A6">
        <w:rPr>
          <w:rFonts w:hAnsi="Times New Roman" w:cs="Times New Roman"/>
          <w:color w:val="auto"/>
        </w:rPr>
        <w:t xml:space="preserve">these forms of </w:t>
      </w:r>
      <w:r w:rsidR="00A64DD3">
        <w:rPr>
          <w:rFonts w:hAnsi="Times New Roman" w:cs="Times New Roman"/>
          <w:color w:val="auto"/>
        </w:rPr>
        <w:t>wealth, highly dependent on legal regulation, has become akin to traditional forms of property. In the past few dec</w:t>
      </w:r>
      <w:r w:rsidR="00D94793">
        <w:rPr>
          <w:rFonts w:hAnsi="Times New Roman" w:cs="Times New Roman"/>
          <w:color w:val="auto"/>
        </w:rPr>
        <w:t xml:space="preserve">ades, reliance on legal regimes that </w:t>
      </w:r>
      <w:r w:rsidR="00A64DD3">
        <w:rPr>
          <w:rFonts w:hAnsi="Times New Roman" w:cs="Times New Roman"/>
          <w:color w:val="auto"/>
        </w:rPr>
        <w:t xml:space="preserve">create wealth in intangibles has risen dramatically. </w:t>
      </w:r>
      <w:r w:rsidRPr="00E8368E">
        <w:rPr>
          <w:rFonts w:hAnsi="Times New Roman" w:cs="Times New Roman"/>
          <w:color w:val="auto"/>
        </w:rPr>
        <w:t xml:space="preserve">Today, as </w:t>
      </w:r>
      <w:r w:rsidR="00273491" w:rsidRPr="00E8368E">
        <w:rPr>
          <w:rFonts w:hAnsi="Times New Roman" w:cs="Times New Roman"/>
          <w:color w:val="auto"/>
        </w:rPr>
        <w:t>law continues to</w:t>
      </w:r>
      <w:r w:rsidR="00F4741C">
        <w:rPr>
          <w:rFonts w:hAnsi="Times New Roman" w:cs="Times New Roman"/>
          <w:color w:val="auto"/>
        </w:rPr>
        <w:t xml:space="preserve"> </w:t>
      </w:r>
      <w:r w:rsidR="00273491" w:rsidRPr="00E8368E">
        <w:rPr>
          <w:rFonts w:hAnsi="Times New Roman" w:cs="Times New Roman"/>
          <w:color w:val="auto"/>
        </w:rPr>
        <w:t xml:space="preserve">delineate </w:t>
      </w:r>
      <w:r w:rsidRPr="00E8368E">
        <w:rPr>
          <w:rFonts w:hAnsi="Times New Roman" w:cs="Times New Roman"/>
          <w:color w:val="auto"/>
        </w:rPr>
        <w:t xml:space="preserve">the boundaries between individual, market, and state, we face </w:t>
      </w:r>
      <w:r w:rsidR="00273491" w:rsidRPr="00E8368E">
        <w:rPr>
          <w:rFonts w:hAnsi="Times New Roman" w:cs="Times New Roman"/>
          <w:color w:val="auto"/>
        </w:rPr>
        <w:t>a new propertization</w:t>
      </w:r>
      <w:r w:rsidR="00D94793">
        <w:rPr>
          <w:rFonts w:hAnsi="Times New Roman" w:cs="Times New Roman"/>
          <w:color w:val="auto"/>
        </w:rPr>
        <w:t xml:space="preserve"> of the </w:t>
      </w:r>
      <w:r w:rsidR="003C1219">
        <w:rPr>
          <w:rFonts w:hAnsi="Times New Roman" w:cs="Times New Roman"/>
          <w:color w:val="auto"/>
        </w:rPr>
        <w:t>building blocks of society: human knowledge in all its facets.</w:t>
      </w:r>
    </w:p>
    <w:p w14:paraId="45D1CF40" w14:textId="77777777" w:rsidR="00F3636B" w:rsidRDefault="00F3636B" w:rsidP="003C1219">
      <w:pPr>
        <w:spacing w:before="100" w:after="100"/>
        <w:ind w:firstLine="720"/>
        <w:rPr>
          <w:rFonts w:hAnsi="Times New Roman" w:cs="Times New Roman"/>
          <w:color w:val="auto"/>
        </w:rPr>
      </w:pPr>
    </w:p>
    <w:p w14:paraId="1D089ED9" w14:textId="430AE120" w:rsidR="00D94793" w:rsidRDefault="00273491" w:rsidP="003C1219">
      <w:pPr>
        <w:spacing w:before="100" w:after="100"/>
        <w:ind w:firstLine="720"/>
        <w:rPr>
          <w:rFonts w:hAnsi="Times New Roman" w:cs="Times New Roman"/>
          <w:color w:val="auto"/>
        </w:rPr>
      </w:pPr>
      <w:r w:rsidRPr="00E8368E">
        <w:rPr>
          <w:rFonts w:hAnsi="Times New Roman" w:cs="Times New Roman"/>
          <w:color w:val="auto"/>
        </w:rPr>
        <w:t>Merely a</w:t>
      </w:r>
      <w:r w:rsidR="002318AA" w:rsidRPr="00E8368E">
        <w:rPr>
          <w:rFonts w:hAnsi="Times New Roman" w:cs="Times New Roman"/>
          <w:color w:val="auto"/>
        </w:rPr>
        <w:t xml:space="preserve"> decade ago, James Boyle warned of the </w:t>
      </w:r>
      <w:r w:rsidR="002318AA" w:rsidRPr="00E8368E">
        <w:rPr>
          <w:rFonts w:hAnsi="Times New Roman" w:cs="Times New Roman"/>
          <w:i/>
          <w:iCs/>
          <w:color w:val="auto"/>
        </w:rPr>
        <w:t>Second Enclosure Movement</w:t>
      </w:r>
      <w:r w:rsidR="002318AA" w:rsidRPr="00E8368E">
        <w:rPr>
          <w:rFonts w:hAnsi="Times New Roman" w:cs="Times New Roman"/>
          <w:color w:val="auto"/>
        </w:rPr>
        <w:t xml:space="preserve">, </w:t>
      </w:r>
      <w:r w:rsidR="003C1219">
        <w:rPr>
          <w:rFonts w:hAnsi="Times New Roman" w:cs="Times New Roman"/>
          <w:color w:val="auto"/>
        </w:rPr>
        <w:t xml:space="preserve">referring to this movement as </w:t>
      </w:r>
      <w:r w:rsidR="002318AA" w:rsidRPr="00E8368E">
        <w:rPr>
          <w:rFonts w:hAnsi="Times New Roman" w:cs="Times New Roman"/>
          <w:color w:val="auto"/>
        </w:rPr>
        <w:t xml:space="preserve">the </w:t>
      </w:r>
      <w:r w:rsidR="003C1219">
        <w:rPr>
          <w:rFonts w:hAnsi="Times New Roman" w:cs="Times New Roman"/>
          <w:color w:val="auto"/>
        </w:rPr>
        <w:t xml:space="preserve">legal </w:t>
      </w:r>
      <w:r w:rsidR="002318AA" w:rsidRPr="00E8368E">
        <w:rPr>
          <w:rFonts w:hAnsi="Times New Roman" w:cs="Times New Roman"/>
          <w:color w:val="auto"/>
        </w:rPr>
        <w:t xml:space="preserve">enclosure of the “intangible commons of the mind” </w:t>
      </w:r>
      <w:r w:rsidR="003C1219">
        <w:rPr>
          <w:rFonts w:hAnsi="Times New Roman" w:cs="Times New Roman"/>
          <w:color w:val="auto"/>
        </w:rPr>
        <w:t>by</w:t>
      </w:r>
      <w:r w:rsidR="002318AA" w:rsidRPr="00E8368E">
        <w:rPr>
          <w:rFonts w:hAnsi="Times New Roman" w:cs="Times New Roman"/>
          <w:color w:val="auto"/>
        </w:rPr>
        <w:t xml:space="preserve"> a rapid expansion of intellectual property rights.</w:t>
      </w:r>
      <w:bookmarkStart w:id="33" w:name="_Ref266029048"/>
      <w:r w:rsidR="002318AA" w:rsidRPr="00E8368E">
        <w:rPr>
          <w:rFonts w:hAnsi="Times New Roman" w:cs="Times New Roman"/>
          <w:color w:val="auto"/>
          <w:vertAlign w:val="superscript"/>
        </w:rPr>
        <w:footnoteReference w:id="199"/>
      </w:r>
      <w:bookmarkEnd w:id="33"/>
      <w:r w:rsidR="002318AA" w:rsidRPr="00E8368E">
        <w:rPr>
          <w:rFonts w:hAnsi="Times New Roman" w:cs="Times New Roman"/>
          <w:color w:val="auto"/>
        </w:rPr>
        <w:t xml:space="preserve"> Boyle </w:t>
      </w:r>
      <w:r w:rsidR="009674A9">
        <w:rPr>
          <w:rFonts w:hAnsi="Times New Roman" w:cs="Times New Roman"/>
          <w:color w:val="auto"/>
        </w:rPr>
        <w:t>warned</w:t>
      </w:r>
      <w:r w:rsidR="003C1219">
        <w:rPr>
          <w:rFonts w:hAnsi="Times New Roman" w:cs="Times New Roman"/>
          <w:color w:val="auto"/>
        </w:rPr>
        <w:t xml:space="preserve"> against</w:t>
      </w:r>
      <w:r w:rsidR="002318AA" w:rsidRPr="00E8368E">
        <w:rPr>
          <w:rFonts w:hAnsi="Times New Roman" w:cs="Times New Roman"/>
          <w:color w:val="auto"/>
        </w:rPr>
        <w:t xml:space="preserve"> the expansion of copyright and patent protections, the </w:t>
      </w:r>
      <w:r w:rsidR="002318AA" w:rsidRPr="002F49EB">
        <w:rPr>
          <w:rFonts w:hAnsi="Times New Roman" w:cs="Times New Roman"/>
          <w:i/>
          <w:iCs/>
          <w:color w:val="auto"/>
        </w:rPr>
        <w:t>outputs</w:t>
      </w:r>
      <w:r w:rsidR="002318AA" w:rsidRPr="00E8368E">
        <w:rPr>
          <w:rFonts w:hAnsi="Times New Roman" w:cs="Times New Roman"/>
          <w:color w:val="auto"/>
        </w:rPr>
        <w:t xml:space="preserve"> of innovation and human creativity. </w:t>
      </w:r>
      <w:r w:rsidR="002F49EB" w:rsidRPr="00E8368E">
        <w:rPr>
          <w:rFonts w:hAnsi="Times New Roman" w:cs="Times New Roman"/>
          <w:color w:val="auto"/>
        </w:rPr>
        <w:t>The</w:t>
      </w:r>
      <w:r w:rsidR="002F49EB">
        <w:rPr>
          <w:rFonts w:hAnsi="Times New Roman" w:cs="Times New Roman"/>
          <w:color w:val="auto"/>
        </w:rPr>
        <w:t xml:space="preserve"> new cognitive property expands propertization of</w:t>
      </w:r>
      <w:r w:rsidR="003C1219">
        <w:rPr>
          <w:rFonts w:hAnsi="Times New Roman" w:cs="Times New Roman"/>
          <w:color w:val="auto"/>
        </w:rPr>
        <w:t xml:space="preserve"> the</w:t>
      </w:r>
      <w:r w:rsidR="002F49EB">
        <w:rPr>
          <w:rFonts w:hAnsi="Times New Roman" w:cs="Times New Roman"/>
          <w:color w:val="auto"/>
        </w:rPr>
        <w:t xml:space="preserve"> intangibles </w:t>
      </w:r>
      <w:r w:rsidR="003C1219">
        <w:rPr>
          <w:rFonts w:hAnsi="Times New Roman" w:cs="Times New Roman"/>
          <w:color w:val="auto"/>
        </w:rPr>
        <w:t xml:space="preserve">of the mind </w:t>
      </w:r>
      <w:r w:rsidR="002F49EB" w:rsidRPr="00E8368E">
        <w:rPr>
          <w:rFonts w:hAnsi="Times New Roman" w:cs="Times New Roman"/>
          <w:color w:val="auto"/>
        </w:rPr>
        <w:t>beyond the heated IP wars</w:t>
      </w:r>
      <w:r w:rsidR="002F49EB">
        <w:rPr>
          <w:rFonts w:hAnsi="Times New Roman" w:cs="Times New Roman"/>
          <w:color w:val="auto"/>
        </w:rPr>
        <w:t>, which have shaped the last two decades</w:t>
      </w:r>
      <w:r w:rsidR="002F49EB" w:rsidRPr="00E8368E">
        <w:rPr>
          <w:rFonts w:hAnsi="Times New Roman" w:cs="Times New Roman"/>
          <w:color w:val="auto"/>
        </w:rPr>
        <w:t>.</w:t>
      </w:r>
      <w:r w:rsidR="002F49EB">
        <w:rPr>
          <w:rFonts w:hAnsi="Times New Roman" w:cs="Times New Roman"/>
          <w:color w:val="auto"/>
        </w:rPr>
        <w:t xml:space="preserve"> </w:t>
      </w:r>
      <w:r w:rsidR="00E92C27" w:rsidRPr="00E8368E">
        <w:rPr>
          <w:rFonts w:hAnsi="Times New Roman" w:cs="Times New Roman"/>
          <w:color w:val="auto"/>
        </w:rPr>
        <w:t xml:space="preserve">While controversies around the expansion of </w:t>
      </w:r>
      <w:r w:rsidR="003C1219">
        <w:rPr>
          <w:rFonts w:hAnsi="Times New Roman" w:cs="Times New Roman"/>
          <w:color w:val="auto"/>
        </w:rPr>
        <w:t>IP</w:t>
      </w:r>
      <w:r w:rsidR="00E92C27" w:rsidRPr="00E8368E">
        <w:rPr>
          <w:rFonts w:hAnsi="Times New Roman" w:cs="Times New Roman"/>
          <w:color w:val="auto"/>
        </w:rPr>
        <w:t xml:space="preserve"> continue, w</w:t>
      </w:r>
      <w:r w:rsidR="002318AA" w:rsidRPr="00E8368E">
        <w:rPr>
          <w:rFonts w:hAnsi="Times New Roman" w:cs="Times New Roman"/>
          <w:color w:val="auto"/>
        </w:rPr>
        <w:t xml:space="preserve">e now </w:t>
      </w:r>
      <w:r w:rsidR="003C1219">
        <w:rPr>
          <w:rFonts w:hAnsi="Times New Roman" w:cs="Times New Roman"/>
          <w:color w:val="auto"/>
        </w:rPr>
        <w:t>face the Third Enclosure M</w:t>
      </w:r>
      <w:r w:rsidR="002318AA" w:rsidRPr="00E8368E">
        <w:rPr>
          <w:rFonts w:hAnsi="Times New Roman" w:cs="Times New Roman"/>
          <w:color w:val="auto"/>
        </w:rPr>
        <w:t xml:space="preserve">ovement, the under-the-radar enclosure over the </w:t>
      </w:r>
      <w:r w:rsidR="002318AA" w:rsidRPr="002F49EB">
        <w:rPr>
          <w:rFonts w:hAnsi="Times New Roman" w:cs="Times New Roman"/>
          <w:i/>
          <w:iCs/>
          <w:color w:val="auto"/>
        </w:rPr>
        <w:t>inputs</w:t>
      </w:r>
      <w:r w:rsidR="002318AA" w:rsidRPr="00E8368E">
        <w:rPr>
          <w:rFonts w:hAnsi="Times New Roman" w:cs="Times New Roman"/>
          <w:color w:val="auto"/>
        </w:rPr>
        <w:t xml:space="preserve"> of knowledge—</w:t>
      </w:r>
      <w:r w:rsidR="00E92C27" w:rsidRPr="00E8368E">
        <w:rPr>
          <w:rFonts w:hAnsi="Times New Roman" w:cs="Times New Roman"/>
          <w:color w:val="auto"/>
        </w:rPr>
        <w:t xml:space="preserve">the creation of </w:t>
      </w:r>
      <w:r w:rsidR="00A64DD3">
        <w:rPr>
          <w:rFonts w:hAnsi="Times New Roman" w:cs="Times New Roman"/>
          <w:color w:val="auto"/>
        </w:rPr>
        <w:t>property over human capital</w:t>
      </w:r>
      <w:r w:rsidR="002318AA" w:rsidRPr="00E8368E">
        <w:rPr>
          <w:rFonts w:hAnsi="Times New Roman" w:cs="Times New Roman"/>
          <w:color w:val="auto"/>
        </w:rPr>
        <w:t xml:space="preserve">. </w:t>
      </w:r>
      <w:r w:rsidR="00D94793">
        <w:rPr>
          <w:rFonts w:hAnsi="Times New Roman" w:cs="Times New Roman"/>
          <w:color w:val="auto"/>
        </w:rPr>
        <w:t>K</w:t>
      </w:r>
      <w:r w:rsidR="00D94793" w:rsidRPr="00E8368E">
        <w:rPr>
          <w:rFonts w:hAnsi="Times New Roman" w:cs="Times New Roman"/>
          <w:color w:val="auto"/>
        </w:rPr>
        <w:t>nowledge, experience, skill, creativity, and network</w:t>
      </w:r>
      <w:r w:rsidR="00D94793">
        <w:rPr>
          <w:rFonts w:hAnsi="Times New Roman" w:cs="Times New Roman"/>
          <w:color w:val="auto"/>
        </w:rPr>
        <w:t xml:space="preserve"> are all becoming subject to commodification and litigation.</w:t>
      </w:r>
      <w:r w:rsidR="00D94793" w:rsidRPr="00E8368E">
        <w:rPr>
          <w:rFonts w:hAnsi="Times New Roman" w:cs="Times New Roman"/>
          <w:color w:val="auto"/>
        </w:rPr>
        <w:t xml:space="preserve"> </w:t>
      </w:r>
    </w:p>
    <w:p w14:paraId="6EC2A114" w14:textId="77777777" w:rsidR="00F55D00" w:rsidRDefault="00F55D00" w:rsidP="00BF6BE5">
      <w:pPr>
        <w:ind w:firstLine="720"/>
        <w:rPr>
          <w:rFonts w:hAnsi="Times New Roman" w:cs="Times New Roman"/>
          <w:color w:val="auto"/>
        </w:rPr>
      </w:pPr>
    </w:p>
    <w:p w14:paraId="3BAA6996" w14:textId="136B5D5F" w:rsidR="00C009DE" w:rsidRDefault="003C1219" w:rsidP="00BF6BE5">
      <w:pPr>
        <w:ind w:firstLine="720"/>
        <w:rPr>
          <w:rFonts w:hAnsi="Times New Roman" w:cs="Times New Roman"/>
          <w:color w:val="auto"/>
          <w:shd w:val="clear" w:color="auto" w:fill="FFFFFF"/>
        </w:rPr>
      </w:pPr>
      <w:r w:rsidRPr="00310CE6">
        <w:rPr>
          <w:rFonts w:hAnsi="Times New Roman" w:cs="Times New Roman"/>
          <w:color w:val="auto"/>
        </w:rPr>
        <w:t xml:space="preserve">To understand these </w:t>
      </w:r>
      <w:r w:rsidR="00BF6BE5" w:rsidRPr="00310CE6">
        <w:rPr>
          <w:rFonts w:hAnsi="Times New Roman" w:cs="Times New Roman"/>
          <w:color w:val="auto"/>
        </w:rPr>
        <w:t>developments</w:t>
      </w:r>
      <w:r>
        <w:rPr>
          <w:rFonts w:hAnsi="Times New Roman" w:cs="Times New Roman"/>
          <w:color w:val="auto"/>
        </w:rPr>
        <w:t xml:space="preserve"> it is illuminating to </w:t>
      </w:r>
      <w:r w:rsidR="001D3525">
        <w:rPr>
          <w:rFonts w:hAnsi="Times New Roman" w:cs="Times New Roman"/>
          <w:color w:val="auto"/>
        </w:rPr>
        <w:t>know</w:t>
      </w:r>
      <w:r>
        <w:rPr>
          <w:rFonts w:hAnsi="Times New Roman" w:cs="Times New Roman"/>
          <w:color w:val="auto"/>
        </w:rPr>
        <w:t xml:space="preserve"> t</w:t>
      </w:r>
      <w:r w:rsidR="00C009DE">
        <w:rPr>
          <w:rFonts w:hAnsi="Times New Roman" w:cs="Times New Roman"/>
          <w:color w:val="auto"/>
        </w:rPr>
        <w:t xml:space="preserve">he history of </w:t>
      </w:r>
      <w:r w:rsidR="00BF6BE5">
        <w:rPr>
          <w:rFonts w:hAnsi="Times New Roman" w:cs="Times New Roman"/>
          <w:color w:val="auto"/>
        </w:rPr>
        <w:t>IP</w:t>
      </w:r>
      <w:r w:rsidR="009D11CA">
        <w:rPr>
          <w:rFonts w:hAnsi="Times New Roman" w:cs="Times New Roman"/>
          <w:color w:val="auto"/>
        </w:rPr>
        <w:t>, which is</w:t>
      </w:r>
      <w:r w:rsidR="00BF6BE5">
        <w:rPr>
          <w:rFonts w:hAnsi="Times New Roman" w:cs="Times New Roman"/>
          <w:color w:val="auto"/>
        </w:rPr>
        <w:t xml:space="preserve"> </w:t>
      </w:r>
      <w:r w:rsidR="00EE09BC">
        <w:rPr>
          <w:rFonts w:hAnsi="Times New Roman" w:cs="Times New Roman"/>
          <w:color w:val="auto"/>
        </w:rPr>
        <w:t xml:space="preserve">characterized by a </w:t>
      </w:r>
      <w:r w:rsidR="00C009DE">
        <w:rPr>
          <w:rFonts w:hAnsi="Times New Roman" w:cs="Times New Roman"/>
          <w:color w:val="auto"/>
        </w:rPr>
        <w:t>shift fro</w:t>
      </w:r>
      <w:r w:rsidR="00A64DD3">
        <w:rPr>
          <w:rFonts w:hAnsi="Times New Roman" w:cs="Times New Roman"/>
          <w:color w:val="auto"/>
        </w:rPr>
        <w:t xml:space="preserve">m the lens of </w:t>
      </w:r>
      <w:r w:rsidR="00466FC6">
        <w:rPr>
          <w:rFonts w:hAnsi="Times New Roman" w:cs="Times New Roman"/>
          <w:color w:val="auto"/>
        </w:rPr>
        <w:t>antitrust</w:t>
      </w:r>
      <w:r w:rsidR="00A64DD3">
        <w:rPr>
          <w:rFonts w:hAnsi="Times New Roman" w:cs="Times New Roman"/>
          <w:color w:val="auto"/>
        </w:rPr>
        <w:t xml:space="preserve"> to the lens of property.</w:t>
      </w:r>
      <w:r w:rsidR="00C009DE">
        <w:rPr>
          <w:rFonts w:hAnsi="Times New Roman" w:cs="Times New Roman"/>
          <w:color w:val="auto"/>
        </w:rPr>
        <w:t xml:space="preserve"> </w:t>
      </w:r>
      <w:r w:rsidR="00466FC6">
        <w:rPr>
          <w:rFonts w:hAnsi="Times New Roman" w:cs="Times New Roman"/>
          <w:color w:val="auto"/>
        </w:rPr>
        <w:t>If in the past</w:t>
      </w:r>
      <w:r w:rsidR="00BF7412">
        <w:rPr>
          <w:rFonts w:hAnsi="Times New Roman" w:cs="Times New Roman"/>
          <w:color w:val="auto"/>
        </w:rPr>
        <w:t>,</w:t>
      </w:r>
      <w:r w:rsidR="00466FC6">
        <w:rPr>
          <w:rFonts w:hAnsi="Times New Roman" w:cs="Times New Roman"/>
          <w:color w:val="auto"/>
        </w:rPr>
        <w:t xml:space="preserve"> patent</w:t>
      </w:r>
      <w:r w:rsidR="00E30E25">
        <w:rPr>
          <w:rFonts w:hAnsi="Times New Roman" w:cs="Times New Roman"/>
          <w:color w:val="auto"/>
        </w:rPr>
        <w:t xml:space="preserve"> and copyright</w:t>
      </w:r>
      <w:r w:rsidR="00466FC6">
        <w:rPr>
          <w:rFonts w:hAnsi="Times New Roman" w:cs="Times New Roman"/>
          <w:color w:val="auto"/>
        </w:rPr>
        <w:t xml:space="preserve"> protections were understood as state sanctioned partial monopolies to reward invention, now </w:t>
      </w:r>
      <w:r w:rsidR="00E30E25">
        <w:rPr>
          <w:rFonts w:hAnsi="Times New Roman" w:cs="Times New Roman"/>
          <w:color w:val="auto"/>
        </w:rPr>
        <w:t>IP is</w:t>
      </w:r>
      <w:r w:rsidR="00466FC6">
        <w:rPr>
          <w:rFonts w:hAnsi="Times New Roman" w:cs="Times New Roman"/>
          <w:color w:val="auto"/>
        </w:rPr>
        <w:t xml:space="preserve"> understood as market assets protected</w:t>
      </w:r>
      <w:r>
        <w:rPr>
          <w:rFonts w:hAnsi="Times New Roman" w:cs="Times New Roman"/>
          <w:color w:val="auto"/>
        </w:rPr>
        <w:t xml:space="preserve"> by</w:t>
      </w:r>
      <w:r w:rsidR="00466FC6">
        <w:rPr>
          <w:rFonts w:hAnsi="Times New Roman" w:cs="Times New Roman"/>
          <w:color w:val="auto"/>
        </w:rPr>
        <w:t xml:space="preserve"> legal rules. </w:t>
      </w:r>
      <w:r w:rsidR="00C009DE">
        <w:rPr>
          <w:rFonts w:hAnsi="Times New Roman" w:cs="Times New Roman"/>
          <w:color w:val="auto"/>
        </w:rPr>
        <w:t xml:space="preserve">In </w:t>
      </w:r>
      <w:r w:rsidR="00466FC6">
        <w:rPr>
          <w:rFonts w:hAnsi="Times New Roman" w:cs="Times New Roman"/>
          <w:color w:val="auto"/>
        </w:rPr>
        <w:t>his</w:t>
      </w:r>
      <w:r w:rsidR="00C009DE">
        <w:rPr>
          <w:rFonts w:hAnsi="Times New Roman" w:cs="Times New Roman"/>
          <w:color w:val="auto"/>
        </w:rPr>
        <w:t xml:space="preserve"> canonical</w:t>
      </w:r>
      <w:r w:rsidR="00F4741C">
        <w:rPr>
          <w:rFonts w:hAnsi="Times New Roman" w:cs="Times New Roman"/>
          <w:color w:val="auto"/>
        </w:rPr>
        <w:t xml:space="preserve"> </w:t>
      </w:r>
      <w:r w:rsidR="00C009DE">
        <w:rPr>
          <w:rFonts w:hAnsi="Times New Roman" w:cs="Times New Roman"/>
          <w:color w:val="auto"/>
        </w:rPr>
        <w:t xml:space="preserve">1935 </w:t>
      </w:r>
      <w:r w:rsidR="00C009DE" w:rsidRPr="00DD1543">
        <w:rPr>
          <w:rFonts w:hAnsi="Times New Roman" w:cs="Times New Roman"/>
          <w:color w:val="auto"/>
        </w:rPr>
        <w:t>Realist essay</w:t>
      </w:r>
      <w:r w:rsidR="00C009DE" w:rsidRPr="00DD1543">
        <w:rPr>
          <w:rFonts w:hAnsi="Times New Roman" w:cs="Times New Roman"/>
          <w:color w:val="auto"/>
          <w:shd w:val="clear" w:color="auto" w:fill="FFFFFF"/>
        </w:rPr>
        <w:t xml:space="preserve">, </w:t>
      </w:r>
      <w:r w:rsidR="00C009DE" w:rsidRPr="00466FC6">
        <w:rPr>
          <w:rFonts w:hAnsi="Times New Roman" w:cs="Times New Roman"/>
          <w:i/>
          <w:iCs/>
          <w:color w:val="auto"/>
          <w:shd w:val="clear" w:color="auto" w:fill="FFFFFF"/>
        </w:rPr>
        <w:t>Transcendental Nonsense and the Functional Approach,</w:t>
      </w:r>
      <w:r w:rsidR="00C009DE" w:rsidRPr="00DD1543">
        <w:rPr>
          <w:rFonts w:hAnsi="Times New Roman" w:cs="Times New Roman"/>
          <w:color w:val="auto"/>
          <w:shd w:val="clear" w:color="auto" w:fill="FFFFFF"/>
        </w:rPr>
        <w:t xml:space="preserve"> Felix Cohen </w:t>
      </w:r>
      <w:r w:rsidR="00C009DE">
        <w:rPr>
          <w:rFonts w:hAnsi="Times New Roman" w:cs="Times New Roman"/>
          <w:color w:val="auto"/>
          <w:shd w:val="clear" w:color="auto" w:fill="FFFFFF"/>
        </w:rPr>
        <w:t>lamented</w:t>
      </w:r>
      <w:r w:rsidR="00C009DE" w:rsidRPr="00DD1543">
        <w:rPr>
          <w:rFonts w:hAnsi="Times New Roman" w:cs="Times New Roman"/>
          <w:color w:val="auto"/>
          <w:shd w:val="clear" w:color="auto" w:fill="FFFFFF"/>
        </w:rPr>
        <w:t xml:space="preserve"> the forgotten logic of </w:t>
      </w:r>
      <w:r w:rsidR="00E30E25">
        <w:rPr>
          <w:rFonts w:hAnsi="Times New Roman" w:cs="Times New Roman"/>
          <w:color w:val="auto"/>
          <w:shd w:val="clear" w:color="auto" w:fill="FFFFFF"/>
        </w:rPr>
        <w:t>IP</w:t>
      </w:r>
      <w:r w:rsidR="00C009DE" w:rsidRPr="00DD1543">
        <w:rPr>
          <w:rFonts w:hAnsi="Times New Roman" w:cs="Times New Roman"/>
          <w:color w:val="auto"/>
          <w:shd w:val="clear" w:color="auto" w:fill="FFFFFF"/>
        </w:rPr>
        <w:t xml:space="preserve"> law designed to </w:t>
      </w:r>
      <w:r w:rsidR="004A219D">
        <w:rPr>
          <w:rFonts w:hAnsi="Times New Roman" w:cs="Times New Roman"/>
          <w:color w:val="auto"/>
          <w:shd w:val="clear" w:color="auto" w:fill="FFFFFF"/>
        </w:rPr>
        <w:t>aid market competition and instead adopted a formalist view of IP as property:</w:t>
      </w:r>
    </w:p>
    <w:p w14:paraId="13A179EF" w14:textId="77777777" w:rsidR="00C009DE" w:rsidRDefault="00C009DE" w:rsidP="004A219D">
      <w:pPr>
        <w:ind w:firstLine="0"/>
        <w:rPr>
          <w:rFonts w:hAnsi="Times New Roman" w:cs="Times New Roman"/>
          <w:color w:val="auto"/>
          <w:shd w:val="clear" w:color="auto" w:fill="FFFFFF"/>
        </w:rPr>
      </w:pPr>
    </w:p>
    <w:p w14:paraId="34CF8284" w14:textId="77777777" w:rsidR="00C009DE" w:rsidRDefault="00C009DE" w:rsidP="00466FC6">
      <w:pPr>
        <w:ind w:left="720" w:right="720" w:firstLine="0"/>
        <w:rPr>
          <w:rFonts w:hAnsi="Times New Roman" w:cs="Times New Roman"/>
          <w:color w:val="auto"/>
        </w:rPr>
      </w:pPr>
      <w:r w:rsidRPr="00DD1543">
        <w:rPr>
          <w:rFonts w:hAnsi="Times New Roman" w:cs="Times New Roman"/>
          <w:color w:val="auto"/>
        </w:rPr>
        <w:t>Increasingly, the courts have departed from any such theory and have come to view this branch of law as a protection of property rights in divers</w:t>
      </w:r>
      <w:r>
        <w:rPr>
          <w:rFonts w:hAnsi="Times New Roman" w:cs="Times New Roman"/>
          <w:color w:val="auto"/>
        </w:rPr>
        <w:t>e</w:t>
      </w:r>
      <w:r w:rsidRPr="00DD1543">
        <w:rPr>
          <w:rFonts w:hAnsi="Times New Roman" w:cs="Times New Roman"/>
          <w:color w:val="auto"/>
        </w:rPr>
        <w:t xml:space="preserve"> economically valuable sale devices.</w:t>
      </w:r>
      <w:r w:rsidRPr="00DD1543">
        <w:rPr>
          <w:rFonts w:hAnsi="Times New Roman" w:cs="Times New Roman"/>
          <w:color w:val="auto"/>
          <w:vertAlign w:val="superscript"/>
        </w:rPr>
        <w:footnoteReference w:id="200"/>
      </w:r>
    </w:p>
    <w:p w14:paraId="17CEE0BD" w14:textId="77777777" w:rsidR="00513E27" w:rsidRDefault="00513E27" w:rsidP="00513E27">
      <w:pPr>
        <w:ind w:firstLine="0"/>
        <w:rPr>
          <w:rFonts w:hAnsi="Times New Roman" w:cs="Times New Roman"/>
          <w:color w:val="auto"/>
        </w:rPr>
      </w:pPr>
    </w:p>
    <w:p w14:paraId="769083E1" w14:textId="77777777" w:rsidR="00466FC6" w:rsidRDefault="00A64DD3" w:rsidP="004A219D">
      <w:pPr>
        <w:ind w:firstLine="720"/>
        <w:rPr>
          <w:rFonts w:hAnsi="Times New Roman" w:cs="Times New Roman"/>
          <w:color w:val="auto"/>
        </w:rPr>
      </w:pPr>
      <w:r>
        <w:rPr>
          <w:rFonts w:hAnsi="Times New Roman" w:cs="Times New Roman"/>
          <w:color w:val="auto"/>
        </w:rPr>
        <w:t>Cohen</w:t>
      </w:r>
      <w:r w:rsidR="00513E27">
        <w:rPr>
          <w:rFonts w:hAnsi="Times New Roman" w:cs="Times New Roman"/>
          <w:color w:val="auto"/>
        </w:rPr>
        <w:t xml:space="preserve"> warned that c</w:t>
      </w:r>
      <w:r w:rsidR="00513E27" w:rsidRPr="00DD1543">
        <w:rPr>
          <w:rFonts w:hAnsi="Times New Roman" w:cs="Times New Roman"/>
          <w:color w:val="auto"/>
        </w:rPr>
        <w:t xml:space="preserve">ourts and scholars have </w:t>
      </w:r>
      <w:r w:rsidR="00513E27">
        <w:rPr>
          <w:rFonts w:hAnsi="Times New Roman" w:cs="Times New Roman"/>
          <w:color w:val="auto"/>
        </w:rPr>
        <w:t>become trapped</w:t>
      </w:r>
      <w:r w:rsidR="00513E27" w:rsidRPr="00DD1543">
        <w:rPr>
          <w:rFonts w:hAnsi="Times New Roman" w:cs="Times New Roman"/>
          <w:color w:val="auto"/>
        </w:rPr>
        <w:t xml:space="preserve"> in a vicious cir</w:t>
      </w:r>
      <w:r w:rsidR="00513E27">
        <w:rPr>
          <w:rFonts w:hAnsi="Times New Roman" w:cs="Times New Roman"/>
          <w:color w:val="auto"/>
        </w:rPr>
        <w:t xml:space="preserve">cle of </w:t>
      </w:r>
      <w:r w:rsidR="0021719C">
        <w:rPr>
          <w:rFonts w:hAnsi="Times New Roman" w:cs="Times New Roman"/>
          <w:color w:val="auto"/>
        </w:rPr>
        <w:t xml:space="preserve">labeling </w:t>
      </w:r>
      <w:r w:rsidR="004A219D">
        <w:rPr>
          <w:rFonts w:hAnsi="Times New Roman" w:cs="Times New Roman"/>
          <w:color w:val="auto"/>
        </w:rPr>
        <w:t>IP</w:t>
      </w:r>
      <w:r w:rsidR="00513E27">
        <w:rPr>
          <w:rFonts w:hAnsi="Times New Roman" w:cs="Times New Roman"/>
          <w:color w:val="auto"/>
        </w:rPr>
        <w:t xml:space="preserve"> as a “thing of value” and thereby as property</w:t>
      </w:r>
      <w:r>
        <w:rPr>
          <w:rFonts w:hAnsi="Times New Roman" w:cs="Times New Roman"/>
          <w:color w:val="auto"/>
        </w:rPr>
        <w:t>,</w:t>
      </w:r>
      <w:r w:rsidR="00F4741C">
        <w:rPr>
          <w:rFonts w:hAnsi="Times New Roman" w:cs="Times New Roman"/>
          <w:color w:val="auto"/>
        </w:rPr>
        <w:t xml:space="preserve"> </w:t>
      </w:r>
      <w:r w:rsidR="00793B4D">
        <w:rPr>
          <w:rFonts w:hAnsi="Times New Roman" w:cs="Times New Roman"/>
          <w:color w:val="auto"/>
        </w:rPr>
        <w:t xml:space="preserve">while </w:t>
      </w:r>
      <w:r w:rsidR="00513E27">
        <w:rPr>
          <w:rFonts w:hAnsi="Times New Roman" w:cs="Times New Roman"/>
          <w:color w:val="auto"/>
        </w:rPr>
        <w:t>refusing to admit any extra</w:t>
      </w:r>
      <w:r w:rsidR="00513E27" w:rsidRPr="00DD1543">
        <w:rPr>
          <w:rFonts w:hAnsi="Times New Roman" w:cs="Times New Roman"/>
          <w:color w:val="auto"/>
        </w:rPr>
        <w:t>l</w:t>
      </w:r>
      <w:r w:rsidR="00513E27">
        <w:rPr>
          <w:rFonts w:hAnsi="Times New Roman" w:cs="Times New Roman"/>
          <w:color w:val="auto"/>
        </w:rPr>
        <w:t>egal facts to challenge this entrenched conception.</w:t>
      </w:r>
      <w:r w:rsidR="00466FC6">
        <w:rPr>
          <w:rStyle w:val="FootnoteReference"/>
          <w:rFonts w:hAnsi="Times New Roman" w:cs="Times New Roman"/>
          <w:color w:val="auto"/>
        </w:rPr>
        <w:footnoteReference w:id="201"/>
      </w:r>
      <w:r w:rsidR="00513E27">
        <w:rPr>
          <w:rFonts w:hAnsi="Times New Roman" w:cs="Times New Roman"/>
          <w:color w:val="auto"/>
        </w:rPr>
        <w:t xml:space="preserve"> </w:t>
      </w:r>
      <w:r>
        <w:rPr>
          <w:rFonts w:hAnsi="Times New Roman" w:cs="Times New Roman"/>
          <w:color w:val="auto"/>
        </w:rPr>
        <w:t>Cohen</w:t>
      </w:r>
      <w:r w:rsidR="00F4741C">
        <w:rPr>
          <w:rFonts w:hAnsi="Times New Roman" w:cs="Times New Roman"/>
          <w:color w:val="auto"/>
        </w:rPr>
        <w:t xml:space="preserve"> </w:t>
      </w:r>
      <w:r w:rsidR="00793B4D">
        <w:rPr>
          <w:rFonts w:hAnsi="Times New Roman" w:cs="Times New Roman"/>
          <w:color w:val="auto"/>
        </w:rPr>
        <w:t>explained</w:t>
      </w:r>
      <w:r w:rsidR="00513E27">
        <w:rPr>
          <w:rFonts w:hAnsi="Times New Roman" w:cs="Times New Roman"/>
          <w:color w:val="auto"/>
        </w:rPr>
        <w:t xml:space="preserve"> the inherent circularity in the conception of in</w:t>
      </w:r>
      <w:r w:rsidR="00793B4D">
        <w:rPr>
          <w:rFonts w:hAnsi="Times New Roman" w:cs="Times New Roman"/>
          <w:color w:val="auto"/>
        </w:rPr>
        <w:t>tangible goods</w:t>
      </w:r>
      <w:r w:rsidR="00513E27">
        <w:rPr>
          <w:rFonts w:hAnsi="Times New Roman" w:cs="Times New Roman"/>
          <w:color w:val="auto"/>
        </w:rPr>
        <w:t xml:space="preserve"> as property: </w:t>
      </w:r>
    </w:p>
    <w:p w14:paraId="21204B0C" w14:textId="77777777" w:rsidR="00466FC6" w:rsidRDefault="00466FC6" w:rsidP="00466FC6">
      <w:pPr>
        <w:ind w:left="720" w:firstLine="0"/>
        <w:rPr>
          <w:rFonts w:hAnsi="Times New Roman" w:cs="Times New Roman"/>
          <w:color w:val="auto"/>
        </w:rPr>
      </w:pPr>
    </w:p>
    <w:p w14:paraId="6EEBCC05" w14:textId="77777777" w:rsidR="006F4E48" w:rsidRDefault="00513E27" w:rsidP="00466FC6">
      <w:pPr>
        <w:ind w:left="720" w:firstLine="0"/>
        <w:rPr>
          <w:rFonts w:hAnsi="Times New Roman" w:cs="Times New Roman"/>
          <w:color w:val="auto"/>
        </w:rPr>
      </w:pPr>
      <w:r w:rsidRPr="00DD1543">
        <w:rPr>
          <w:rFonts w:hAnsi="Times New Roman" w:cs="Times New Roman"/>
          <w:color w:val="auto"/>
        </w:rPr>
        <w:t xml:space="preserve">It purports to base legal protection upon economic value, when, as a matter of actual fact, the economic value of a sales device depends upon the extent to which it will be legally protected. . . The circularity of legal reasoning in the whole field of unfair competition is veiled by the </w:t>
      </w:r>
      <w:r>
        <w:rPr>
          <w:rFonts w:hAnsi="Times New Roman" w:cs="Times New Roman"/>
          <w:color w:val="auto"/>
        </w:rPr>
        <w:t>‘</w:t>
      </w:r>
      <w:r w:rsidRPr="00DD1543">
        <w:rPr>
          <w:rFonts w:hAnsi="Times New Roman" w:cs="Times New Roman"/>
          <w:color w:val="auto"/>
        </w:rPr>
        <w:t>thingification</w:t>
      </w:r>
      <w:r>
        <w:rPr>
          <w:rFonts w:hAnsi="Times New Roman" w:cs="Times New Roman"/>
          <w:color w:val="auto"/>
        </w:rPr>
        <w:t>’</w:t>
      </w:r>
      <w:r w:rsidR="00466FC6">
        <w:rPr>
          <w:rFonts w:hAnsi="Times New Roman" w:cs="Times New Roman"/>
          <w:color w:val="auto"/>
        </w:rPr>
        <w:t xml:space="preserve"> of property.</w:t>
      </w:r>
      <w:r w:rsidR="00466FC6">
        <w:rPr>
          <w:rStyle w:val="FootnoteReference"/>
          <w:rFonts w:hAnsi="Times New Roman" w:cs="Times New Roman"/>
          <w:color w:val="auto"/>
        </w:rPr>
        <w:footnoteReference w:id="202"/>
      </w:r>
    </w:p>
    <w:p w14:paraId="66FED2A7" w14:textId="77777777" w:rsidR="006F4E48" w:rsidRPr="00DD1543" w:rsidRDefault="006F4E48" w:rsidP="00C21267">
      <w:pPr>
        <w:ind w:firstLine="720"/>
        <w:rPr>
          <w:rFonts w:hAnsi="Times New Roman" w:cs="Times New Roman"/>
          <w:color w:val="auto"/>
        </w:rPr>
      </w:pPr>
    </w:p>
    <w:p w14:paraId="58E42DCD" w14:textId="77777777" w:rsidR="00483AFC" w:rsidRPr="004A219D" w:rsidRDefault="00972C9A" w:rsidP="0024584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rFonts w:hAnsi="Times New Roman" w:cs="Times New Roman"/>
          <w:color w:val="auto"/>
        </w:rPr>
      </w:pPr>
      <w:r w:rsidRPr="004A219D">
        <w:rPr>
          <w:rFonts w:hAnsi="Times New Roman" w:cs="Times New Roman"/>
          <w:color w:val="auto"/>
        </w:rPr>
        <w:tab/>
      </w:r>
      <w:r w:rsidR="00C009DE" w:rsidRPr="004A219D">
        <w:rPr>
          <w:rFonts w:hAnsi="Times New Roman" w:cs="Times New Roman"/>
          <w:color w:val="auto"/>
        </w:rPr>
        <w:t>William Fisher similarly describe</w:t>
      </w:r>
      <w:r w:rsidR="000D036E" w:rsidRPr="004A219D">
        <w:rPr>
          <w:rFonts w:hAnsi="Times New Roman" w:cs="Times New Roman"/>
          <w:color w:val="auto"/>
        </w:rPr>
        <w:t>d</w:t>
      </w:r>
      <w:r w:rsidR="00C009DE" w:rsidRPr="004A219D">
        <w:rPr>
          <w:rFonts w:hAnsi="Times New Roman" w:cs="Times New Roman"/>
          <w:color w:val="auto"/>
        </w:rPr>
        <w:t xml:space="preserve"> the coming of age of </w:t>
      </w:r>
      <w:r w:rsidR="00AE393B">
        <w:rPr>
          <w:rFonts w:hAnsi="Times New Roman" w:cs="Times New Roman"/>
          <w:color w:val="auto"/>
        </w:rPr>
        <w:t>IP</w:t>
      </w:r>
      <w:r w:rsidR="00C009DE" w:rsidRPr="004A219D">
        <w:rPr>
          <w:rFonts w:hAnsi="Times New Roman" w:cs="Times New Roman"/>
          <w:color w:val="auto"/>
        </w:rPr>
        <w:t xml:space="preserve"> rights as </w:t>
      </w:r>
      <w:r w:rsidR="00513E27" w:rsidRPr="004A219D">
        <w:rPr>
          <w:rFonts w:hAnsi="Times New Roman" w:cs="Times New Roman"/>
          <w:color w:val="auto"/>
        </w:rPr>
        <w:t>a</w:t>
      </w:r>
      <w:r w:rsidR="00C009DE" w:rsidRPr="004A219D">
        <w:rPr>
          <w:rFonts w:hAnsi="Times New Roman" w:cs="Times New Roman"/>
          <w:color w:val="auto"/>
        </w:rPr>
        <w:t xml:space="preserve"> shift</w:t>
      </w:r>
      <w:r w:rsidR="00793B4D" w:rsidRPr="004A219D">
        <w:rPr>
          <w:rFonts w:hAnsi="Times New Roman" w:cs="Times New Roman"/>
          <w:color w:val="auto"/>
        </w:rPr>
        <w:t xml:space="preserve"> </w:t>
      </w:r>
      <w:r w:rsidR="00C009DE" w:rsidRPr="004A219D">
        <w:rPr>
          <w:rFonts w:hAnsi="Times New Roman" w:cs="Times New Roman"/>
          <w:color w:val="auto"/>
        </w:rPr>
        <w:t xml:space="preserve">from </w:t>
      </w:r>
      <w:r w:rsidR="00513E27" w:rsidRPr="004A219D">
        <w:rPr>
          <w:rFonts w:hAnsi="Times New Roman" w:cs="Times New Roman"/>
          <w:color w:val="auto"/>
        </w:rPr>
        <w:t>the field of</w:t>
      </w:r>
      <w:r w:rsidR="00F4741C" w:rsidRPr="004A219D">
        <w:rPr>
          <w:rFonts w:hAnsi="Times New Roman" w:cs="Times New Roman"/>
          <w:color w:val="auto"/>
        </w:rPr>
        <w:t xml:space="preserve"> </w:t>
      </w:r>
      <w:r w:rsidR="00513E27" w:rsidRPr="004A219D">
        <w:rPr>
          <w:rFonts w:hAnsi="Times New Roman" w:cs="Times New Roman"/>
          <w:color w:val="auto"/>
        </w:rPr>
        <w:t>antitrust</w:t>
      </w:r>
      <w:r w:rsidR="00793B4D" w:rsidRPr="004A219D">
        <w:rPr>
          <w:rFonts w:hAnsi="Times New Roman" w:cs="Times New Roman"/>
          <w:color w:val="auto"/>
        </w:rPr>
        <w:t xml:space="preserve"> </w:t>
      </w:r>
      <w:r w:rsidR="00AE393B">
        <w:rPr>
          <w:rFonts w:hAnsi="Times New Roman" w:cs="Times New Roman"/>
          <w:color w:val="auto"/>
        </w:rPr>
        <w:t>with</w:t>
      </w:r>
      <w:r w:rsidR="00793B4D" w:rsidRPr="004A219D">
        <w:rPr>
          <w:rFonts w:hAnsi="Times New Roman" w:cs="Times New Roman"/>
          <w:color w:val="auto"/>
        </w:rPr>
        <w:t xml:space="preserve"> the terminology of “</w:t>
      </w:r>
      <w:r w:rsidR="004E578C" w:rsidRPr="004A219D">
        <w:rPr>
          <w:rFonts w:hAnsi="Times New Roman" w:cs="Times New Roman"/>
          <w:color w:val="auto"/>
        </w:rPr>
        <w:t>monopolies</w:t>
      </w:r>
      <w:r w:rsidR="00793B4D" w:rsidRPr="004A219D">
        <w:rPr>
          <w:rFonts w:hAnsi="Times New Roman" w:cs="Times New Roman"/>
          <w:color w:val="auto"/>
        </w:rPr>
        <w:t xml:space="preserve">” to the field of property </w:t>
      </w:r>
      <w:r w:rsidR="00AE393B">
        <w:rPr>
          <w:rFonts w:hAnsi="Times New Roman" w:cs="Times New Roman"/>
          <w:color w:val="auto"/>
        </w:rPr>
        <w:t>with</w:t>
      </w:r>
      <w:r w:rsidR="00793B4D" w:rsidRPr="004A219D">
        <w:rPr>
          <w:rFonts w:hAnsi="Times New Roman" w:cs="Times New Roman"/>
          <w:color w:val="auto"/>
        </w:rPr>
        <w:t xml:space="preserve"> the terminology of “</w:t>
      </w:r>
      <w:r w:rsidR="00C009DE" w:rsidRPr="004A219D">
        <w:rPr>
          <w:rFonts w:hAnsi="Times New Roman" w:cs="Times New Roman"/>
          <w:color w:val="auto"/>
        </w:rPr>
        <w:t>rights</w:t>
      </w:r>
      <w:r w:rsidR="00793B4D" w:rsidRPr="004A219D">
        <w:rPr>
          <w:rFonts w:hAnsi="Times New Roman" w:cs="Times New Roman"/>
          <w:color w:val="auto"/>
        </w:rPr>
        <w:t>.”</w:t>
      </w:r>
      <w:r w:rsidR="007F0763" w:rsidRPr="004A219D">
        <w:rPr>
          <w:rFonts w:eastAsia="Times New Roman" w:hAnsi="Times New Roman" w:cs="Times New Roman"/>
          <w:color w:val="auto"/>
          <w:vertAlign w:val="superscript"/>
        </w:rPr>
        <w:footnoteReference w:id="203"/>
      </w:r>
      <w:r w:rsidR="007F0763" w:rsidRPr="004A219D">
        <w:rPr>
          <w:rFonts w:hAnsi="Times New Roman" w:cs="Times New Roman"/>
          <w:color w:val="auto"/>
        </w:rPr>
        <w:t xml:space="preserve"> </w:t>
      </w:r>
      <w:r w:rsidR="004A219D" w:rsidRPr="004A219D">
        <w:rPr>
          <w:rFonts w:hAnsi="Times New Roman" w:cs="Times New Roman"/>
          <w:color w:val="auto"/>
        </w:rPr>
        <w:t>As Fisher suggested</w:t>
      </w:r>
      <w:r w:rsidR="00ED4657" w:rsidRPr="004A219D">
        <w:rPr>
          <w:rFonts w:hAnsi="Times New Roman" w:cs="Times New Roman"/>
          <w:color w:val="auto"/>
        </w:rPr>
        <w:t xml:space="preserve">, </w:t>
      </w:r>
      <w:r w:rsidR="00ED4657" w:rsidRPr="004A219D">
        <w:rPr>
          <w:rFonts w:hAnsi="Times New Roman" w:cs="Times New Roman"/>
          <w:color w:val="auto"/>
          <w:lang w:bidi="he-IL"/>
        </w:rPr>
        <w:t xml:space="preserve">the currency of the term, monopoly, “derived partly from </w:t>
      </w:r>
      <w:r w:rsidR="00ED4657" w:rsidRPr="00310CE6">
        <w:rPr>
          <w:rFonts w:hAnsi="Times New Roman" w:cs="Times New Roman"/>
          <w:color w:val="auto"/>
          <w:lang w:bidi="he-IL"/>
        </w:rPr>
        <w:t>--and helped to reinforce --</w:t>
      </w:r>
      <w:r w:rsidR="00ED4657" w:rsidRPr="004A219D">
        <w:rPr>
          <w:rFonts w:hAnsi="Times New Roman" w:cs="Times New Roman"/>
          <w:color w:val="auto"/>
          <w:lang w:bidi="he-IL"/>
        </w:rPr>
        <w:t xml:space="preserve"> a substantive position: like other “monopolies,” patents an</w:t>
      </w:r>
      <w:r w:rsidR="00AE393B">
        <w:rPr>
          <w:rFonts w:hAnsi="Times New Roman" w:cs="Times New Roman"/>
          <w:color w:val="auto"/>
          <w:lang w:bidi="he-IL"/>
        </w:rPr>
        <w:t>d</w:t>
      </w:r>
      <w:r w:rsidR="00ED4657" w:rsidRPr="004A219D">
        <w:rPr>
          <w:rFonts w:hAnsi="Times New Roman" w:cs="Times New Roman"/>
          <w:color w:val="auto"/>
          <w:lang w:bidi="he-IL"/>
        </w:rPr>
        <w:t xml:space="preserve"> copyrights were dangerous devices that should be deployed only when absolutely necessary to advance some clear public interest.”</w:t>
      </w:r>
      <w:r w:rsidR="00ED4657" w:rsidRPr="004A219D">
        <w:rPr>
          <w:rStyle w:val="FootnoteReference"/>
          <w:rFonts w:hAnsi="Times New Roman" w:cs="Times New Roman"/>
          <w:color w:val="auto"/>
          <w:lang w:bidi="he-IL"/>
        </w:rPr>
        <w:footnoteReference w:id="204"/>
      </w:r>
      <w:r w:rsidR="00ED4657" w:rsidRPr="004A219D">
        <w:rPr>
          <w:rFonts w:hAnsi="Times New Roman" w:cs="Times New Roman"/>
          <w:color w:val="auto"/>
        </w:rPr>
        <w:t xml:space="preserve"> By the twentieth century however, “f</w:t>
      </w:r>
      <w:r w:rsidR="00ED4657" w:rsidRPr="004A219D">
        <w:rPr>
          <w:rFonts w:hAnsi="Times New Roman" w:cs="Times New Roman"/>
          <w:color w:val="auto"/>
          <w:lang w:bidi="he-IL"/>
        </w:rPr>
        <w:t>raming arguments in terms of property rights became increasingly common” in patent, copyright and trademark disputes.</w:t>
      </w:r>
      <w:r w:rsidR="00483AFC" w:rsidRPr="004A219D">
        <w:rPr>
          <w:rFonts w:hAnsi="Times New Roman" w:cs="Times New Roman"/>
          <w:color w:val="auto"/>
          <w:lang w:bidi="he-IL"/>
        </w:rPr>
        <w:t xml:space="preserve"> Still, the term itself, </w:t>
      </w:r>
      <w:r w:rsidR="00483AFC" w:rsidRPr="0024584C">
        <w:rPr>
          <w:rFonts w:hAnsi="Times New Roman" w:cs="Times New Roman"/>
          <w:i/>
          <w:iCs/>
          <w:color w:val="auto"/>
          <w:lang w:bidi="he-IL"/>
        </w:rPr>
        <w:t>intellectual property</w:t>
      </w:r>
      <w:r w:rsidR="00483AFC" w:rsidRPr="004A219D">
        <w:rPr>
          <w:rFonts w:hAnsi="Times New Roman" w:cs="Times New Roman"/>
          <w:color w:val="auto"/>
          <w:lang w:bidi="he-IL"/>
        </w:rPr>
        <w:t>, was rare until the second half of the twentieth century.</w:t>
      </w:r>
      <w:r w:rsidR="0024584C">
        <w:rPr>
          <w:rFonts w:hAnsi="Times New Roman" w:cs="Times New Roman"/>
          <w:color w:val="auto"/>
          <w:lang w:bidi="he-IL"/>
        </w:rPr>
        <w:t xml:space="preserve"> Under </w:t>
      </w:r>
      <w:r w:rsidR="00483AFC" w:rsidRPr="004A219D">
        <w:rPr>
          <w:rFonts w:hAnsi="Times New Roman" w:cs="Times New Roman"/>
          <w:color w:val="auto"/>
          <w:lang w:bidi="he-IL"/>
        </w:rPr>
        <w:t>contemporary law</w:t>
      </w:r>
      <w:r w:rsidR="0024584C">
        <w:rPr>
          <w:rFonts w:hAnsi="Times New Roman" w:cs="Times New Roman"/>
          <w:color w:val="auto"/>
          <w:lang w:bidi="he-IL"/>
        </w:rPr>
        <w:t xml:space="preserve"> however</w:t>
      </w:r>
      <w:r w:rsidR="00483AFC" w:rsidRPr="004A219D">
        <w:rPr>
          <w:rFonts w:hAnsi="Times New Roman" w:cs="Times New Roman"/>
          <w:color w:val="auto"/>
          <w:lang w:bidi="he-IL"/>
        </w:rPr>
        <w:t xml:space="preserve">, “the use of the term “property” to describe copyrights, patents, trademarks, etc. conveys the impression that they are fundamentally “like” interests in land or tangible personal property </w:t>
      </w:r>
      <w:r w:rsidR="00483AFC" w:rsidRPr="00310CE6">
        <w:rPr>
          <w:rFonts w:hAnsi="Times New Roman" w:cs="Times New Roman"/>
          <w:color w:val="auto"/>
          <w:lang w:bidi="he-IL"/>
        </w:rPr>
        <w:t>--</w:t>
      </w:r>
      <w:r w:rsidR="00483AFC" w:rsidRPr="004A219D">
        <w:rPr>
          <w:rFonts w:hAnsi="Times New Roman" w:cs="Times New Roman"/>
          <w:color w:val="auto"/>
          <w:lang w:bidi="he-IL"/>
        </w:rPr>
        <w:t xml:space="preserve"> and should be protected with the same generous panoply of remedies.”</w:t>
      </w:r>
      <w:r w:rsidR="00483AFC" w:rsidRPr="004A219D">
        <w:rPr>
          <w:rStyle w:val="FootnoteReference"/>
          <w:rFonts w:hAnsi="Times New Roman" w:cs="Times New Roman"/>
          <w:color w:val="auto"/>
          <w:lang w:bidi="he-IL"/>
        </w:rPr>
        <w:footnoteReference w:id="205"/>
      </w:r>
      <w:r w:rsidR="00483AFC" w:rsidRPr="004A219D">
        <w:rPr>
          <w:rFonts w:hAnsi="Times New Roman" w:cs="Times New Roman"/>
          <w:color w:val="auto"/>
          <w:lang w:bidi="he-IL"/>
        </w:rPr>
        <w:t xml:space="preserve"> Unsurprisingly then, courts have increasingly been </w:t>
      </w:r>
      <w:r w:rsidR="0024584C">
        <w:rPr>
          <w:rFonts w:hAnsi="Times New Roman" w:cs="Times New Roman"/>
          <w:color w:val="auto"/>
          <w:lang w:bidi="he-IL"/>
        </w:rPr>
        <w:t>intent</w:t>
      </w:r>
      <w:r w:rsidR="00483AFC" w:rsidRPr="004A219D">
        <w:rPr>
          <w:rFonts w:hAnsi="Times New Roman" w:cs="Times New Roman"/>
          <w:color w:val="auto"/>
          <w:lang w:bidi="he-IL"/>
        </w:rPr>
        <w:t xml:space="preserve"> </w:t>
      </w:r>
      <w:r w:rsidR="0024584C">
        <w:rPr>
          <w:rFonts w:hAnsi="Times New Roman" w:cs="Times New Roman"/>
          <w:color w:val="auto"/>
          <w:lang w:bidi="he-IL"/>
        </w:rPr>
        <w:t>on</w:t>
      </w:r>
      <w:r w:rsidR="00483AFC" w:rsidRPr="004A219D">
        <w:rPr>
          <w:rFonts w:hAnsi="Times New Roman" w:cs="Times New Roman"/>
          <w:color w:val="auto"/>
          <w:lang w:bidi="he-IL"/>
        </w:rPr>
        <w:t xml:space="preserve"> </w:t>
      </w:r>
      <w:r w:rsidR="0024584C">
        <w:rPr>
          <w:rFonts w:hAnsi="Times New Roman" w:cs="Times New Roman"/>
          <w:color w:val="auto"/>
          <w:lang w:bidi="he-IL"/>
        </w:rPr>
        <w:t>construing</w:t>
      </w:r>
      <w:r w:rsidR="00483AFC" w:rsidRPr="004A219D">
        <w:rPr>
          <w:rFonts w:hAnsi="Times New Roman" w:cs="Times New Roman"/>
          <w:color w:val="auto"/>
          <w:lang w:bidi="he-IL"/>
        </w:rPr>
        <w:t xml:space="preserve"> misappropriation of </w:t>
      </w:r>
      <w:r w:rsidR="0024584C">
        <w:rPr>
          <w:rFonts w:hAnsi="Times New Roman" w:cs="Times New Roman"/>
          <w:color w:val="auto"/>
          <w:lang w:bidi="he-IL"/>
        </w:rPr>
        <w:t>IP</w:t>
      </w:r>
      <w:r w:rsidR="00483AFC" w:rsidRPr="004A219D">
        <w:rPr>
          <w:rFonts w:hAnsi="Times New Roman" w:cs="Times New Roman"/>
          <w:color w:val="auto"/>
          <w:lang w:bidi="he-IL"/>
        </w:rPr>
        <w:t xml:space="preserve"> as outright theft. </w:t>
      </w:r>
      <w:r w:rsidR="00EE1ABB" w:rsidRPr="004A219D">
        <w:rPr>
          <w:rFonts w:hAnsi="Times New Roman" w:cs="Times New Roman"/>
          <w:color w:val="auto"/>
          <w:lang w:bidi="he-IL"/>
        </w:rPr>
        <w:t>In a rec</w:t>
      </w:r>
      <w:r w:rsidR="00793B4D" w:rsidRPr="004A219D">
        <w:rPr>
          <w:rFonts w:hAnsi="Times New Roman" w:cs="Times New Roman"/>
          <w:color w:val="auto"/>
        </w:rPr>
        <w:t>ent copyright case</w:t>
      </w:r>
      <w:r w:rsidR="00513E27" w:rsidRPr="004A219D">
        <w:rPr>
          <w:rFonts w:hAnsi="Times New Roman" w:cs="Times New Roman"/>
          <w:color w:val="auto"/>
        </w:rPr>
        <w:t xml:space="preserve">, a federal district court </w:t>
      </w:r>
      <w:r w:rsidR="00793B4D" w:rsidRPr="004A219D">
        <w:rPr>
          <w:rFonts w:hAnsi="Times New Roman" w:cs="Times New Roman"/>
          <w:color w:val="auto"/>
        </w:rPr>
        <w:t>began</w:t>
      </w:r>
      <w:r w:rsidR="00513E27" w:rsidRPr="004A219D">
        <w:rPr>
          <w:rFonts w:hAnsi="Times New Roman" w:cs="Times New Roman"/>
          <w:color w:val="auto"/>
        </w:rPr>
        <w:t xml:space="preserve"> its opinion about </w:t>
      </w:r>
      <w:r w:rsidR="00793B4D" w:rsidRPr="004A219D">
        <w:rPr>
          <w:rFonts w:hAnsi="Times New Roman" w:cs="Times New Roman"/>
          <w:color w:val="auto"/>
        </w:rPr>
        <w:t xml:space="preserve">rap music recalling </w:t>
      </w:r>
      <w:r w:rsidR="00513E27" w:rsidRPr="004A219D">
        <w:rPr>
          <w:rFonts w:hAnsi="Times New Roman" w:cs="Times New Roman"/>
          <w:color w:val="auto"/>
        </w:rPr>
        <w:t>the biblical statement:</w:t>
      </w:r>
      <w:r w:rsidR="00480CC8" w:rsidRPr="004A219D">
        <w:rPr>
          <w:rFonts w:hAnsi="Times New Roman" w:cs="Times New Roman"/>
          <w:color w:val="auto"/>
        </w:rPr>
        <w:t xml:space="preserve"> </w:t>
      </w:r>
      <w:r w:rsidR="00116FE7">
        <w:rPr>
          <w:rFonts w:hAnsi="Times New Roman" w:cs="Times New Roman"/>
          <w:color w:val="auto"/>
        </w:rPr>
        <w:t>“'</w:t>
      </w:r>
      <w:r w:rsidR="00513E27" w:rsidRPr="004A219D">
        <w:rPr>
          <w:rFonts w:hAnsi="Times New Roman" w:cs="Times New Roman"/>
          <w:color w:val="auto"/>
        </w:rPr>
        <w:t xml:space="preserve">Thou shalt not steal' has been an admonition followed since the dawn of </w:t>
      </w:r>
      <w:r w:rsidR="00483AFC" w:rsidRPr="004A219D">
        <w:rPr>
          <w:rFonts w:hAnsi="Times New Roman" w:cs="Times New Roman"/>
          <w:color w:val="auto"/>
        </w:rPr>
        <w:t>c</w:t>
      </w:r>
      <w:r w:rsidR="00513E27" w:rsidRPr="004A219D">
        <w:rPr>
          <w:rFonts w:hAnsi="Times New Roman" w:cs="Times New Roman"/>
          <w:color w:val="auto"/>
        </w:rPr>
        <w:t>ivilization.”</w:t>
      </w:r>
      <w:r w:rsidR="00513E27" w:rsidRPr="004A219D">
        <w:rPr>
          <w:rFonts w:eastAsia="Times New Roman" w:hAnsi="Times New Roman" w:cs="Times New Roman"/>
          <w:color w:val="auto"/>
          <w:vertAlign w:val="superscript"/>
        </w:rPr>
        <w:footnoteReference w:id="206"/>
      </w:r>
      <w:r w:rsidR="00513E27" w:rsidRPr="004A219D">
        <w:rPr>
          <w:rFonts w:hAnsi="Times New Roman" w:cs="Times New Roman"/>
          <w:color w:val="auto"/>
        </w:rPr>
        <w:t> </w:t>
      </w:r>
    </w:p>
    <w:p w14:paraId="44BE0935" w14:textId="77777777" w:rsidR="00483AFC" w:rsidRDefault="00483AFC" w:rsidP="00483AF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left"/>
        <w:rPr>
          <w:rFonts w:hAnsi="Times New Roman" w:cs="Times New Roman"/>
          <w:color w:val="auto"/>
        </w:rPr>
      </w:pPr>
    </w:p>
    <w:p w14:paraId="49741A22" w14:textId="77777777" w:rsidR="00206571" w:rsidRPr="00DD1543" w:rsidRDefault="00483AFC" w:rsidP="0024584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hAnsi="Times New Roman" w:cs="Times New Roman"/>
          <w:color w:val="auto"/>
        </w:rPr>
      </w:pPr>
      <w:r>
        <w:rPr>
          <w:rFonts w:hAnsi="Times New Roman" w:cs="Times New Roman"/>
          <w:color w:val="auto"/>
        </w:rPr>
        <w:t>This ever</w:t>
      </w:r>
      <w:r w:rsidR="00751A78">
        <w:rPr>
          <w:rFonts w:hAnsi="Times New Roman" w:cs="Times New Roman"/>
          <w:color w:val="auto"/>
        </w:rPr>
        <w:t>-</w:t>
      </w:r>
      <w:r>
        <w:rPr>
          <w:rFonts w:hAnsi="Times New Roman" w:cs="Times New Roman"/>
          <w:color w:val="auto"/>
        </w:rPr>
        <w:t xml:space="preserve">expanding lens </w:t>
      </w:r>
      <w:r w:rsidR="0024584C">
        <w:rPr>
          <w:rFonts w:hAnsi="Times New Roman" w:cs="Times New Roman"/>
          <w:color w:val="auto"/>
        </w:rPr>
        <w:t xml:space="preserve">of property into the intangibles </w:t>
      </w:r>
      <w:r>
        <w:rPr>
          <w:rFonts w:hAnsi="Times New Roman" w:cs="Times New Roman"/>
          <w:color w:val="auto"/>
        </w:rPr>
        <w:t>of the mind is now reaching the next frontier, targeting not only the output</w:t>
      </w:r>
      <w:r w:rsidR="0024584C">
        <w:rPr>
          <w:rFonts w:hAnsi="Times New Roman" w:cs="Times New Roman"/>
          <w:color w:val="auto"/>
        </w:rPr>
        <w:t>s</w:t>
      </w:r>
      <w:r>
        <w:rPr>
          <w:rFonts w:hAnsi="Times New Roman" w:cs="Times New Roman"/>
          <w:color w:val="auto"/>
        </w:rPr>
        <w:t xml:space="preserve"> of innovation but also people themselves.</w:t>
      </w:r>
      <w:r w:rsidRPr="00DD1543">
        <w:rPr>
          <w:rFonts w:hAnsi="Times New Roman" w:cs="Times New Roman"/>
          <w:color w:val="auto"/>
        </w:rPr>
        <w:t xml:space="preserve"> Once </w:t>
      </w:r>
      <w:r>
        <w:rPr>
          <w:rFonts w:hAnsi="Times New Roman" w:cs="Times New Roman"/>
          <w:color w:val="auto"/>
        </w:rPr>
        <w:t xml:space="preserve">knowledge </w:t>
      </w:r>
      <w:r w:rsidR="00FE6B42">
        <w:rPr>
          <w:rFonts w:hAnsi="Times New Roman" w:cs="Times New Roman"/>
          <w:color w:val="auto"/>
        </w:rPr>
        <w:t>in all its forms is</w:t>
      </w:r>
      <w:r w:rsidRPr="00DD1543">
        <w:rPr>
          <w:rFonts w:hAnsi="Times New Roman" w:cs="Times New Roman"/>
          <w:color w:val="auto"/>
        </w:rPr>
        <w:t xml:space="preserve"> labeled property, </w:t>
      </w:r>
      <w:r w:rsidR="00FE6B42">
        <w:rPr>
          <w:rFonts w:hAnsi="Times New Roman" w:cs="Times New Roman"/>
          <w:color w:val="auto"/>
        </w:rPr>
        <w:t>its</w:t>
      </w:r>
      <w:r w:rsidRPr="00DD1543">
        <w:rPr>
          <w:rFonts w:hAnsi="Times New Roman" w:cs="Times New Roman"/>
          <w:color w:val="auto"/>
        </w:rPr>
        <w:t xml:space="preserve"> unauthorized use </w:t>
      </w:r>
      <w:r w:rsidR="0024584C">
        <w:rPr>
          <w:rFonts w:hAnsi="Times New Roman" w:cs="Times New Roman"/>
          <w:color w:val="auto"/>
        </w:rPr>
        <w:t>is</w:t>
      </w:r>
      <w:r w:rsidRPr="00DD1543">
        <w:rPr>
          <w:rFonts w:hAnsi="Times New Roman" w:cs="Times New Roman"/>
          <w:color w:val="auto"/>
        </w:rPr>
        <w:t xml:space="preserve"> deemed theft. </w:t>
      </w:r>
      <w:r>
        <w:rPr>
          <w:rFonts w:hAnsi="Times New Roman" w:cs="Times New Roman"/>
          <w:color w:val="auto"/>
        </w:rPr>
        <w:t>As we have seen above, t</w:t>
      </w:r>
      <w:r w:rsidR="00AD7FEE">
        <w:rPr>
          <w:rFonts w:hAnsi="Times New Roman" w:cs="Times New Roman"/>
          <w:color w:val="auto"/>
        </w:rPr>
        <w:t xml:space="preserve">he </w:t>
      </w:r>
      <w:r w:rsidR="00793B4D">
        <w:rPr>
          <w:rFonts w:hAnsi="Times New Roman" w:cs="Times New Roman"/>
          <w:color w:val="auto"/>
        </w:rPr>
        <w:t>same lens of theft and property has become</w:t>
      </w:r>
      <w:r>
        <w:rPr>
          <w:rFonts w:hAnsi="Times New Roman" w:cs="Times New Roman"/>
          <w:color w:val="auto"/>
        </w:rPr>
        <w:t xml:space="preserve"> increasingly</w:t>
      </w:r>
      <w:r w:rsidR="00793B4D">
        <w:rPr>
          <w:rFonts w:hAnsi="Times New Roman" w:cs="Times New Roman"/>
          <w:color w:val="auto"/>
        </w:rPr>
        <w:t xml:space="preserve"> strong in human capital law cases</w:t>
      </w:r>
      <w:r>
        <w:rPr>
          <w:rFonts w:hAnsi="Times New Roman" w:cs="Times New Roman"/>
          <w:color w:val="auto"/>
        </w:rPr>
        <w:t xml:space="preserve"> and legislation</w:t>
      </w:r>
      <w:r w:rsidR="00793B4D">
        <w:rPr>
          <w:rFonts w:hAnsi="Times New Roman" w:cs="Times New Roman"/>
          <w:color w:val="auto"/>
        </w:rPr>
        <w:t xml:space="preserve">, including </w:t>
      </w:r>
      <w:r w:rsidR="0024584C">
        <w:rPr>
          <w:rFonts w:hAnsi="Times New Roman" w:cs="Times New Roman"/>
          <w:color w:val="auto"/>
        </w:rPr>
        <w:t>both the expansion of human capital controls and the increased criminalization of trade secrets</w:t>
      </w:r>
      <w:r w:rsidR="00793B4D">
        <w:rPr>
          <w:rFonts w:hAnsi="Times New Roman" w:cs="Times New Roman"/>
          <w:color w:val="auto"/>
        </w:rPr>
        <w:t>.</w:t>
      </w:r>
      <w:r>
        <w:rPr>
          <w:rFonts w:hAnsi="Times New Roman" w:cs="Times New Roman"/>
          <w:color w:val="auto"/>
        </w:rPr>
        <w:t xml:space="preserve"> A striking illustration of this expansion is the use of the term piracy in relation to human capital. </w:t>
      </w:r>
      <w:r w:rsidR="00206571" w:rsidRPr="00DD1543">
        <w:rPr>
          <w:rFonts w:hAnsi="Times New Roman" w:cs="Times New Roman"/>
          <w:color w:val="auto"/>
        </w:rPr>
        <w:t xml:space="preserve">The </w:t>
      </w:r>
      <w:r>
        <w:rPr>
          <w:rFonts w:hAnsi="Times New Roman" w:cs="Times New Roman"/>
          <w:color w:val="auto"/>
        </w:rPr>
        <w:t>term</w:t>
      </w:r>
      <w:r w:rsidR="00206571" w:rsidRPr="00DD1543">
        <w:rPr>
          <w:rFonts w:hAnsi="Times New Roman" w:cs="Times New Roman"/>
          <w:color w:val="auto"/>
        </w:rPr>
        <w:t xml:space="preserve"> “piracy” has been a significant metaphor in defense of strong IP protections. Unsurprisingly, as propertization shifts beyond specific information and into the zone of human capital, claims about piracy are carried over into battles to control cognitive capacity. </w:t>
      </w:r>
      <w:r w:rsidR="0024584C">
        <w:rPr>
          <w:rFonts w:hAnsi="Times New Roman" w:cs="Times New Roman"/>
          <w:color w:val="auto"/>
        </w:rPr>
        <w:t xml:space="preserve">For example, a </w:t>
      </w:r>
      <w:r w:rsidR="00206571" w:rsidRPr="00DD1543">
        <w:rPr>
          <w:rFonts w:hAnsi="Times New Roman" w:cs="Times New Roman"/>
          <w:color w:val="auto"/>
        </w:rPr>
        <w:t>recent article describes employees</w:t>
      </w:r>
      <w:r w:rsidR="0024584C">
        <w:rPr>
          <w:rFonts w:hAnsi="Times New Roman" w:cs="Times New Roman"/>
          <w:color w:val="auto"/>
        </w:rPr>
        <w:t>,</w:t>
      </w:r>
      <w:r w:rsidR="00206571" w:rsidRPr="00DD1543">
        <w:rPr>
          <w:rFonts w:hAnsi="Times New Roman" w:cs="Times New Roman"/>
          <w:color w:val="auto"/>
        </w:rPr>
        <w:t xml:space="preserve"> who </w:t>
      </w:r>
      <w:r w:rsidR="0024584C">
        <w:rPr>
          <w:rFonts w:hAnsi="Times New Roman" w:cs="Times New Roman"/>
          <w:color w:val="auto"/>
        </w:rPr>
        <w:t xml:space="preserve">dare to </w:t>
      </w:r>
      <w:r w:rsidR="00206571" w:rsidRPr="00DD1543">
        <w:rPr>
          <w:rFonts w:hAnsi="Times New Roman" w:cs="Times New Roman"/>
          <w:color w:val="auto"/>
        </w:rPr>
        <w:t>dream of becoming entrepreneurs despite signing non-competes</w:t>
      </w:r>
      <w:r w:rsidR="0024584C">
        <w:rPr>
          <w:rFonts w:hAnsi="Times New Roman" w:cs="Times New Roman"/>
          <w:color w:val="auto"/>
        </w:rPr>
        <w:t>,</w:t>
      </w:r>
      <w:r w:rsidR="00206571" w:rsidRPr="00DD1543">
        <w:rPr>
          <w:rFonts w:hAnsi="Times New Roman" w:cs="Times New Roman"/>
          <w:color w:val="auto"/>
        </w:rPr>
        <w:t xml:space="preserve"> as modern day pirates. The article quotes an attorney who explains the difference between these new pirates and the old swashbucklers: </w:t>
      </w:r>
    </w:p>
    <w:p w14:paraId="061B6911" w14:textId="77777777" w:rsidR="00206571" w:rsidRDefault="00206571" w:rsidP="00FB41FF">
      <w:pPr>
        <w:widowControl/>
        <w:spacing w:before="100" w:after="100"/>
        <w:ind w:left="720" w:right="720" w:firstLine="0"/>
        <w:rPr>
          <w:rFonts w:hAnsi="Times New Roman" w:cs="Times New Roman"/>
          <w:color w:val="auto"/>
        </w:rPr>
      </w:pPr>
      <w:r w:rsidRPr="00DD1543">
        <w:rPr>
          <w:rFonts w:hAnsi="Times New Roman" w:cs="Times New Roman"/>
          <w:color w:val="auto"/>
        </w:rPr>
        <w:t>The owner of a merchant vessel clearly knows when his ship comes under pirate attack. Buccaneers armed with cutlasses board his vessel. In the workplace, employee pirates steal an employer's treasure -- trade secrets, proprietary information and customer relationships. Unlike sea pirates…this theft is often carried out by trusted, supposedly honest employees.</w:t>
      </w:r>
      <w:r w:rsidRPr="00DD1543">
        <w:rPr>
          <w:rFonts w:hAnsi="Times New Roman" w:cs="Times New Roman"/>
          <w:color w:val="auto"/>
          <w:vertAlign w:val="superscript"/>
        </w:rPr>
        <w:footnoteReference w:id="207"/>
      </w:r>
    </w:p>
    <w:p w14:paraId="649A5511" w14:textId="77777777" w:rsidR="00D14784" w:rsidRDefault="00D14784" w:rsidP="00206571">
      <w:pPr>
        <w:rPr>
          <w:rFonts w:hAnsi="Times New Roman" w:cs="Times New Roman"/>
          <w:color w:val="auto"/>
        </w:rPr>
      </w:pPr>
    </w:p>
    <w:p w14:paraId="0FBE473E" w14:textId="5BEB96BE" w:rsidR="00E81F96" w:rsidRDefault="0024584C" w:rsidP="00700010">
      <w:pPr>
        <w:ind w:firstLine="720"/>
      </w:pPr>
      <w:r w:rsidRPr="001C4EF5">
        <w:rPr>
          <w:rFonts w:hAnsi="Times New Roman" w:cs="Times New Roman"/>
          <w:color w:val="auto"/>
        </w:rPr>
        <w:t>The new</w:t>
      </w:r>
      <w:r>
        <w:rPr>
          <w:rFonts w:hAnsi="Times New Roman" w:cs="Times New Roman"/>
          <w:color w:val="auto"/>
        </w:rPr>
        <w:t xml:space="preserve"> pirates are stealing their human capital </w:t>
      </w:r>
      <w:r w:rsidRPr="001C4EF5">
        <w:rPr>
          <w:rFonts w:hAnsi="Times New Roman" w:cs="Times New Roman"/>
          <w:color w:val="auto"/>
        </w:rPr>
        <w:t>away from the firm.</w:t>
      </w:r>
      <w:r>
        <w:rPr>
          <w:rFonts w:hAnsi="Times New Roman" w:cs="Times New Roman"/>
          <w:color w:val="auto"/>
        </w:rPr>
        <w:t xml:space="preserve"> </w:t>
      </w:r>
      <w:r w:rsidR="002D5FA8" w:rsidRPr="00DD1543">
        <w:t xml:space="preserve">In </w:t>
      </w:r>
      <w:r w:rsidR="00F57371">
        <w:t xml:space="preserve">1414, </w:t>
      </w:r>
      <w:r w:rsidR="002D5FA8" w:rsidRPr="00DD1543">
        <w:t>the earliest known case on non-competes</w:t>
      </w:r>
      <w:r w:rsidR="002D5FA8">
        <w:t>,</w:t>
      </w:r>
      <w:r w:rsidR="00217E45">
        <w:t xml:space="preserve"> </w:t>
      </w:r>
      <w:r w:rsidR="002D5FA8">
        <w:t xml:space="preserve">a clothes </w:t>
      </w:r>
      <w:r w:rsidR="004F045B">
        <w:t>d</w:t>
      </w:r>
      <w:r w:rsidR="004F045B" w:rsidRPr="00DD1543">
        <w:t>yer</w:t>
      </w:r>
      <w:r w:rsidR="002D5FA8" w:rsidRPr="00DD1543">
        <w:t xml:space="preserve"> </w:t>
      </w:r>
      <w:r w:rsidR="002D5FA8">
        <w:t xml:space="preserve">in medieval England </w:t>
      </w:r>
      <w:r w:rsidR="002D5FA8" w:rsidRPr="00DD1543">
        <w:t xml:space="preserve">attempted to prevent a former employee from competing in town for </w:t>
      </w:r>
      <w:r w:rsidR="002D5FA8">
        <w:t>six</w:t>
      </w:r>
      <w:r w:rsidR="002D5FA8" w:rsidRPr="00DD1543">
        <w:t xml:space="preserve"> months.</w:t>
      </w:r>
      <w:r w:rsidR="00F57371">
        <w:rPr>
          <w:rStyle w:val="FootnoteReference"/>
        </w:rPr>
        <w:footnoteReference w:id="208"/>
      </w:r>
      <w:r w:rsidR="002D5FA8" w:rsidRPr="00DD1543">
        <w:t xml:space="preserve"> The court threaten</w:t>
      </w:r>
      <w:r w:rsidR="002D5FA8">
        <w:t>ed</w:t>
      </w:r>
      <w:r w:rsidR="002D5FA8" w:rsidRPr="00DD1543">
        <w:t xml:space="preserve"> to imprison the employer for initiating such a frivolous lawsuit that restrain</w:t>
      </w:r>
      <w:r w:rsidR="002D5FA8">
        <w:t>ed</w:t>
      </w:r>
      <w:r w:rsidR="002D5FA8" w:rsidRPr="00DD1543">
        <w:t xml:space="preserve"> trade. </w:t>
      </w:r>
      <w:r w:rsidR="002D5FA8">
        <w:t xml:space="preserve">If under the lens of antitrust, harm is done by </w:t>
      </w:r>
      <w:r w:rsidR="009D1F5C">
        <w:t>he who attempt</w:t>
      </w:r>
      <w:r w:rsidR="006143CF">
        <w:t>s</w:t>
      </w:r>
      <w:r w:rsidR="009D1F5C">
        <w:t xml:space="preserve"> to restrain</w:t>
      </w:r>
      <w:r w:rsidR="002D5FA8">
        <w:t xml:space="preserve"> competition and the use of experience and skill in markets, under the lens of property, the dramatically evolved law of human capital views</w:t>
      </w:r>
      <w:r w:rsidR="009D1F5C">
        <w:t xml:space="preserve"> he who</w:t>
      </w:r>
      <w:r w:rsidR="002D5FA8">
        <w:t xml:space="preserve"> harm</w:t>
      </w:r>
      <w:r w:rsidR="009D1F5C">
        <w:t>s</w:t>
      </w:r>
      <w:r w:rsidR="002D5FA8">
        <w:t xml:space="preserve"> </w:t>
      </w:r>
      <w:r w:rsidR="006143CF">
        <w:t xml:space="preserve">as </w:t>
      </w:r>
      <w:r w:rsidR="00700010">
        <w:t>the one</w:t>
      </w:r>
      <w:r w:rsidR="002D5FA8">
        <w:t xml:space="preserve"> who resist</w:t>
      </w:r>
      <w:r w:rsidR="00700010">
        <w:t>s</w:t>
      </w:r>
      <w:r w:rsidR="002D5FA8">
        <w:t xml:space="preserve"> such restraints.</w:t>
      </w:r>
      <w:r w:rsidR="00ED5F4D">
        <w:t xml:space="preserve"> </w:t>
      </w:r>
    </w:p>
    <w:p w14:paraId="11BFD5BD" w14:textId="77777777" w:rsidR="00E81F96" w:rsidRDefault="00E81F96" w:rsidP="00E81F96">
      <w:pPr>
        <w:ind w:firstLine="0"/>
      </w:pPr>
    </w:p>
    <w:p w14:paraId="077780B1" w14:textId="77777777" w:rsidR="00E81F96" w:rsidRPr="00E81F96" w:rsidRDefault="00B92CBD" w:rsidP="00CE27BB">
      <w:pPr>
        <w:pStyle w:val="Heading2"/>
      </w:pPr>
      <w:bookmarkStart w:id="34" w:name="_Toc399167404"/>
      <w:r>
        <w:t>B.</w:t>
      </w:r>
      <w:r w:rsidR="0043642D">
        <w:t xml:space="preserve"> </w:t>
      </w:r>
      <w:r w:rsidR="00E81F96" w:rsidRPr="00E81F96">
        <w:t>Understanding Harm</w:t>
      </w:r>
      <w:bookmarkEnd w:id="34"/>
    </w:p>
    <w:p w14:paraId="0E90AF4A" w14:textId="77777777" w:rsidR="00E81F96" w:rsidRDefault="00E81F96" w:rsidP="00E81F96">
      <w:pPr>
        <w:ind w:firstLine="720"/>
        <w:rPr>
          <w:rFonts w:hAnsi="Times New Roman" w:cs="Times New Roman"/>
          <w:color w:val="auto"/>
        </w:rPr>
      </w:pPr>
    </w:p>
    <w:p w14:paraId="5FA16B12" w14:textId="77777777" w:rsidR="000D0466" w:rsidRDefault="003B0A76" w:rsidP="000D0466">
      <w:pPr>
        <w:ind w:firstLine="720"/>
        <w:rPr>
          <w:rFonts w:hAnsi="Times New Roman" w:cs="Times New Roman"/>
          <w:color w:val="auto"/>
        </w:rPr>
      </w:pPr>
      <w:r>
        <w:rPr>
          <w:rFonts w:hAnsi="Times New Roman" w:cs="Times New Roman"/>
          <w:color w:val="auto"/>
        </w:rPr>
        <w:t>Rather than</w:t>
      </w:r>
      <w:r w:rsidR="00E81F96">
        <w:rPr>
          <w:rFonts w:hAnsi="Times New Roman" w:cs="Times New Roman"/>
          <w:color w:val="auto"/>
        </w:rPr>
        <w:t xml:space="preserve"> equating employees with pirates, the challenge of our coming decades is to rid adjudication from the strains of a property paradigm and to urge</w:t>
      </w:r>
      <w:r w:rsidR="00E81F96" w:rsidRPr="00DD1543">
        <w:rPr>
          <w:rFonts w:hAnsi="Times New Roman" w:cs="Times New Roman"/>
          <w:color w:val="auto"/>
        </w:rPr>
        <w:t xml:space="preserve"> serious </w:t>
      </w:r>
      <w:r w:rsidR="00E81F96">
        <w:rPr>
          <w:rFonts w:hAnsi="Times New Roman" w:cs="Times New Roman"/>
          <w:color w:val="auto"/>
        </w:rPr>
        <w:t>analysis of</w:t>
      </w:r>
      <w:r w:rsidR="00E81F96" w:rsidRPr="00DD1543">
        <w:rPr>
          <w:rFonts w:hAnsi="Times New Roman" w:cs="Times New Roman"/>
          <w:color w:val="auto"/>
        </w:rPr>
        <w:t xml:space="preserve"> the implic</w:t>
      </w:r>
      <w:r w:rsidR="00E81F96">
        <w:rPr>
          <w:rFonts w:hAnsi="Times New Roman" w:cs="Times New Roman"/>
          <w:color w:val="auto"/>
        </w:rPr>
        <w:t xml:space="preserve">ations of economic arrangements surrounding human capital. </w:t>
      </w:r>
      <w:r w:rsidR="003552A6">
        <w:rPr>
          <w:rFonts w:hAnsi="Times New Roman" w:cs="Times New Roman"/>
          <w:color w:val="auto"/>
        </w:rPr>
        <w:t>Debates about h</w:t>
      </w:r>
      <w:r w:rsidR="003552A6" w:rsidRPr="004C6039">
        <w:rPr>
          <w:rFonts w:hAnsi="Times New Roman" w:cs="Times New Roman"/>
          <w:color w:val="auto"/>
        </w:rPr>
        <w:t xml:space="preserve">uman capital </w:t>
      </w:r>
      <w:r w:rsidR="003552A6">
        <w:rPr>
          <w:rFonts w:hAnsi="Times New Roman" w:cs="Times New Roman"/>
          <w:color w:val="auto"/>
        </w:rPr>
        <w:t>law</w:t>
      </w:r>
      <w:r w:rsidR="003552A6" w:rsidRPr="004C6039">
        <w:rPr>
          <w:rFonts w:hAnsi="Times New Roman" w:cs="Times New Roman"/>
          <w:color w:val="auto"/>
        </w:rPr>
        <w:t xml:space="preserve"> </w:t>
      </w:r>
      <w:r w:rsidR="003552A6">
        <w:rPr>
          <w:rFonts w:hAnsi="Times New Roman" w:cs="Times New Roman"/>
          <w:color w:val="auto"/>
        </w:rPr>
        <w:t xml:space="preserve">have </w:t>
      </w:r>
      <w:r w:rsidR="000D0466">
        <w:rPr>
          <w:rFonts w:hAnsi="Times New Roman" w:cs="Times New Roman"/>
          <w:color w:val="auto"/>
        </w:rPr>
        <w:t xml:space="preserve">been rather thin and </w:t>
      </w:r>
      <w:r w:rsidR="003552A6">
        <w:rPr>
          <w:rFonts w:hAnsi="Times New Roman" w:cs="Times New Roman"/>
          <w:color w:val="auto"/>
        </w:rPr>
        <w:t>traditionally</w:t>
      </w:r>
      <w:r w:rsidR="003552A6" w:rsidRPr="004C6039">
        <w:rPr>
          <w:rFonts w:hAnsi="Times New Roman" w:cs="Times New Roman"/>
          <w:color w:val="auto"/>
        </w:rPr>
        <w:t xml:space="preserve"> track</w:t>
      </w:r>
      <w:r w:rsidR="003552A6">
        <w:rPr>
          <w:rFonts w:hAnsi="Times New Roman" w:cs="Times New Roman"/>
          <w:color w:val="auto"/>
        </w:rPr>
        <w:t>ed</w:t>
      </w:r>
      <w:r w:rsidR="003552A6" w:rsidRPr="004C6039">
        <w:rPr>
          <w:rFonts w:hAnsi="Times New Roman" w:cs="Times New Roman"/>
          <w:color w:val="auto"/>
        </w:rPr>
        <w:t xml:space="preserve"> the general intellectual property debate. </w:t>
      </w:r>
      <w:r w:rsidR="003552A6">
        <w:rPr>
          <w:rFonts w:hAnsi="Times New Roman" w:cs="Times New Roman"/>
        </w:rPr>
        <w:t>The long unchallenged assumption has been that human capital controls are necessary because otherwise</w:t>
      </w:r>
      <w:r w:rsidR="003552A6" w:rsidRPr="00744063">
        <w:rPr>
          <w:rFonts w:hAnsi="Times New Roman" w:cs="Times New Roman"/>
        </w:rPr>
        <w:t xml:space="preserve"> employer</w:t>
      </w:r>
      <w:r w:rsidR="003552A6">
        <w:rPr>
          <w:rFonts w:hAnsi="Times New Roman" w:cs="Times New Roman"/>
        </w:rPr>
        <w:t>s</w:t>
      </w:r>
      <w:r w:rsidR="003552A6" w:rsidRPr="00744063">
        <w:rPr>
          <w:rFonts w:hAnsi="Times New Roman" w:cs="Times New Roman"/>
        </w:rPr>
        <w:t xml:space="preserve"> would under-invest in employee training.</w:t>
      </w:r>
      <w:r w:rsidR="003552A6">
        <w:rPr>
          <w:rStyle w:val="FootnoteReference"/>
          <w:rFonts w:hAnsi="Times New Roman" w:cs="Times New Roman"/>
        </w:rPr>
        <w:footnoteReference w:id="209"/>
      </w:r>
      <w:r w:rsidR="003552A6">
        <w:rPr>
          <w:rFonts w:hAnsi="Times New Roman" w:cs="Times New Roman"/>
        </w:rPr>
        <w:t xml:space="preserve"> In other words, the move toward cognitive property is necessary to incentivize corporate investment.</w:t>
      </w:r>
      <w:r w:rsidR="003552A6">
        <w:rPr>
          <w:rStyle w:val="FootnoteReference"/>
          <w:rFonts w:hAnsi="Times New Roman" w:cs="Times New Roman"/>
        </w:rPr>
        <w:footnoteReference w:id="210"/>
      </w:r>
      <w:r w:rsidR="003552A6">
        <w:rPr>
          <w:rFonts w:hAnsi="Times New Roman" w:cs="Times New Roman"/>
        </w:rPr>
        <w:t xml:space="preserve"> </w:t>
      </w:r>
      <w:r w:rsidR="003552A6" w:rsidRPr="004C6039">
        <w:rPr>
          <w:rFonts w:hAnsi="Times New Roman" w:cs="Times New Roman"/>
          <w:color w:val="auto"/>
        </w:rPr>
        <w:t xml:space="preserve">Under </w:t>
      </w:r>
      <w:r w:rsidR="000D0466">
        <w:rPr>
          <w:rFonts w:hAnsi="Times New Roman" w:cs="Times New Roman"/>
          <w:color w:val="auto"/>
        </w:rPr>
        <w:t xml:space="preserve">the </w:t>
      </w:r>
      <w:r w:rsidR="003552A6" w:rsidRPr="004C6039">
        <w:rPr>
          <w:rFonts w:hAnsi="Times New Roman" w:cs="Times New Roman"/>
          <w:color w:val="auto"/>
        </w:rPr>
        <w:t>traditional analysis, externalities are a type of market failure. Just as tort liability aims to internalize negative externalities</w:t>
      </w:r>
      <w:r w:rsidR="003552A6">
        <w:rPr>
          <w:rFonts w:hAnsi="Times New Roman" w:cs="Times New Roman"/>
          <w:color w:val="auto"/>
        </w:rPr>
        <w:t xml:space="preserve">, </w:t>
      </w:r>
      <w:r w:rsidR="003552A6" w:rsidRPr="004C6039">
        <w:rPr>
          <w:rFonts w:hAnsi="Times New Roman" w:cs="Times New Roman"/>
          <w:color w:val="auto"/>
        </w:rPr>
        <w:t xml:space="preserve">the harm to others, knowledge monopolies </w:t>
      </w:r>
      <w:r w:rsidR="000D0466">
        <w:rPr>
          <w:rFonts w:hAnsi="Times New Roman" w:cs="Times New Roman"/>
          <w:color w:val="auto"/>
        </w:rPr>
        <w:t xml:space="preserve">are viewed </w:t>
      </w:r>
      <w:r w:rsidR="003552A6" w:rsidRPr="004C6039">
        <w:rPr>
          <w:rFonts w:hAnsi="Times New Roman" w:cs="Times New Roman"/>
          <w:color w:val="auto"/>
        </w:rPr>
        <w:t>as necessary to internalize positive externalities</w:t>
      </w:r>
      <w:r w:rsidR="000D0466">
        <w:rPr>
          <w:rFonts w:hAnsi="Times New Roman" w:cs="Times New Roman"/>
          <w:color w:val="auto"/>
        </w:rPr>
        <w:t>, or spillovers, that flow from innovation.</w:t>
      </w:r>
      <w:r w:rsidR="003552A6" w:rsidRPr="004C6039">
        <w:rPr>
          <w:rStyle w:val="FootnoteReference"/>
          <w:rFonts w:hAnsi="Times New Roman" w:cs="Times New Roman"/>
          <w:color w:val="auto"/>
        </w:rPr>
        <w:footnoteReference w:id="211"/>
      </w:r>
      <w:r w:rsidR="003552A6">
        <w:rPr>
          <w:rFonts w:hAnsi="Times New Roman" w:cs="Times New Roman"/>
          <w:color w:val="auto"/>
        </w:rPr>
        <w:t xml:space="preserve"> </w:t>
      </w:r>
    </w:p>
    <w:p w14:paraId="4E956C6D" w14:textId="77777777" w:rsidR="000D0466" w:rsidRDefault="000D0466" w:rsidP="000D0466">
      <w:pPr>
        <w:ind w:firstLine="720"/>
        <w:rPr>
          <w:rFonts w:hAnsi="Times New Roman" w:cs="Times New Roman"/>
          <w:color w:val="auto"/>
        </w:rPr>
      </w:pPr>
    </w:p>
    <w:p w14:paraId="556D7819" w14:textId="77777777" w:rsidR="000D0466" w:rsidRDefault="003552A6" w:rsidP="000D0466">
      <w:pPr>
        <w:ind w:firstLine="720"/>
        <w:rPr>
          <w:rFonts w:hAnsi="Times New Roman" w:cs="Times New Roman"/>
          <w:color w:val="auto"/>
        </w:rPr>
      </w:pPr>
      <w:r w:rsidRPr="004C6039">
        <w:rPr>
          <w:rFonts w:hAnsi="Times New Roman" w:cs="Times New Roman"/>
          <w:color w:val="auto"/>
        </w:rPr>
        <w:t xml:space="preserve">The view that </w:t>
      </w:r>
      <w:r>
        <w:rPr>
          <w:rFonts w:hAnsi="Times New Roman" w:cs="Times New Roman"/>
          <w:color w:val="auto"/>
        </w:rPr>
        <w:t>IP</w:t>
      </w:r>
      <w:r w:rsidRPr="004C6039">
        <w:rPr>
          <w:rFonts w:hAnsi="Times New Roman" w:cs="Times New Roman"/>
          <w:color w:val="auto"/>
        </w:rPr>
        <w:t xml:space="preserve"> law </w:t>
      </w:r>
      <w:r w:rsidR="000D0466">
        <w:rPr>
          <w:rFonts w:hAnsi="Times New Roman" w:cs="Times New Roman"/>
          <w:color w:val="auto"/>
        </w:rPr>
        <w:t xml:space="preserve">is necessary </w:t>
      </w:r>
      <w:r w:rsidRPr="004C6039">
        <w:rPr>
          <w:rFonts w:hAnsi="Times New Roman" w:cs="Times New Roman"/>
          <w:color w:val="auto"/>
        </w:rPr>
        <w:t xml:space="preserve">to </w:t>
      </w:r>
      <w:r w:rsidR="000D0466">
        <w:rPr>
          <w:rFonts w:hAnsi="Times New Roman" w:cs="Times New Roman"/>
          <w:color w:val="auto"/>
        </w:rPr>
        <w:t xml:space="preserve">allow firms to </w:t>
      </w:r>
      <w:r w:rsidRPr="004C6039">
        <w:rPr>
          <w:rFonts w:hAnsi="Times New Roman" w:cs="Times New Roman"/>
          <w:color w:val="auto"/>
        </w:rPr>
        <w:t xml:space="preserve">internalize positive externalities has been challenged in recent years. Scholars such as Mark Lemley and Brett Frischmann have argued that </w:t>
      </w:r>
      <w:r w:rsidRPr="004C6039">
        <w:rPr>
          <w:rFonts w:hAnsi="Times New Roman" w:cs="Times New Roman"/>
          <w:shd w:val="clear" w:color="auto" w:fill="FFFFFF"/>
        </w:rPr>
        <w:t>in the context of intellectual property</w:t>
      </w:r>
      <w:r>
        <w:rPr>
          <w:rFonts w:hAnsi="Times New Roman" w:cs="Times New Roman"/>
          <w:shd w:val="clear" w:color="auto" w:fill="FFFFFF"/>
        </w:rPr>
        <w:t>,</w:t>
      </w:r>
      <w:r w:rsidRPr="004C6039">
        <w:rPr>
          <w:rFonts w:hAnsi="Times New Roman" w:cs="Times New Roman"/>
          <w:shd w:val="clear" w:color="auto" w:fill="FFFFFF"/>
        </w:rPr>
        <w:t xml:space="preserve"> internalization</w:t>
      </w:r>
      <w:r>
        <w:rPr>
          <w:rFonts w:hAnsi="Times New Roman" w:cs="Times New Roman"/>
          <w:shd w:val="clear" w:color="auto" w:fill="FFFFFF"/>
        </w:rPr>
        <w:t xml:space="preserve"> </w:t>
      </w:r>
      <w:r w:rsidRPr="004C6039">
        <w:rPr>
          <w:rFonts w:hAnsi="Times New Roman" w:cs="Times New Roman"/>
          <w:shd w:val="clear" w:color="auto" w:fill="FFFFFF"/>
        </w:rPr>
        <w:t xml:space="preserve">is not a desirable goal and that spillovers actually encourage </w:t>
      </w:r>
      <w:r w:rsidRPr="000D0466">
        <w:rPr>
          <w:rFonts w:hAnsi="Times New Roman" w:cs="Times New Roman"/>
          <w:i/>
          <w:iCs/>
          <w:shd w:val="clear" w:color="auto" w:fill="FFFFFF"/>
        </w:rPr>
        <w:t>greater</w:t>
      </w:r>
      <w:r w:rsidRPr="004C6039">
        <w:rPr>
          <w:rFonts w:hAnsi="Times New Roman" w:cs="Times New Roman"/>
          <w:shd w:val="clear" w:color="auto" w:fill="FFFFFF"/>
        </w:rPr>
        <w:t xml:space="preserve"> innovation.</w:t>
      </w:r>
      <w:r w:rsidR="000D0466">
        <w:rPr>
          <w:rStyle w:val="FootnoteReference"/>
          <w:rFonts w:hAnsi="Times New Roman" w:cs="Times New Roman"/>
          <w:shd w:val="clear" w:color="auto" w:fill="FFFFFF"/>
        </w:rPr>
        <w:footnoteReference w:id="212"/>
      </w:r>
      <w:r w:rsidRPr="004C6039">
        <w:rPr>
          <w:rFonts w:hAnsi="Times New Roman" w:cs="Times New Roman"/>
          <w:shd w:val="clear" w:color="auto" w:fill="FFFFFF"/>
        </w:rPr>
        <w:t xml:space="preserve"> </w:t>
      </w:r>
      <w:r w:rsidR="000D0466">
        <w:rPr>
          <w:rFonts w:hAnsi="Times New Roman" w:cs="Times New Roman"/>
          <w:shd w:val="clear" w:color="auto" w:fill="FFFFFF"/>
        </w:rPr>
        <w:t>In human capital law, th</w:t>
      </w:r>
      <w:r w:rsidRPr="004C6039">
        <w:rPr>
          <w:rFonts w:hAnsi="Times New Roman" w:cs="Times New Roman"/>
          <w:shd w:val="clear" w:color="auto" w:fill="FFFFFF"/>
        </w:rPr>
        <w:t xml:space="preserve">ese </w:t>
      </w:r>
      <w:r w:rsidR="000D0466">
        <w:rPr>
          <w:rFonts w:hAnsi="Times New Roman" w:cs="Times New Roman"/>
          <w:shd w:val="clear" w:color="auto" w:fill="FFFFFF"/>
        </w:rPr>
        <w:t>questions have</w:t>
      </w:r>
      <w:r w:rsidRPr="004C6039">
        <w:rPr>
          <w:rFonts w:hAnsi="Times New Roman" w:cs="Times New Roman"/>
          <w:shd w:val="clear" w:color="auto" w:fill="FFFFFF"/>
        </w:rPr>
        <w:t xml:space="preserve"> remain</w:t>
      </w:r>
      <w:r w:rsidR="000D0466">
        <w:rPr>
          <w:rFonts w:hAnsi="Times New Roman" w:cs="Times New Roman"/>
          <w:shd w:val="clear" w:color="auto" w:fill="FFFFFF"/>
        </w:rPr>
        <w:t>ed</w:t>
      </w:r>
      <w:r w:rsidRPr="004C6039">
        <w:rPr>
          <w:rFonts w:hAnsi="Times New Roman" w:cs="Times New Roman"/>
          <w:shd w:val="clear" w:color="auto" w:fill="FFFFFF"/>
        </w:rPr>
        <w:t xml:space="preserve"> under-investigated </w:t>
      </w:r>
      <w:r w:rsidR="000D0466">
        <w:rPr>
          <w:rFonts w:hAnsi="Times New Roman" w:cs="Times New Roman"/>
          <w:shd w:val="clear" w:color="auto" w:fill="FFFFFF"/>
        </w:rPr>
        <w:t>despite mounting evidence that</w:t>
      </w:r>
      <w:r w:rsidRPr="004C6039">
        <w:rPr>
          <w:rFonts w:hAnsi="Times New Roman" w:cs="Times New Roman"/>
          <w:color w:val="auto"/>
        </w:rPr>
        <w:t xml:space="preserve"> the challenge </w:t>
      </w:r>
      <w:r w:rsidR="000D0466">
        <w:rPr>
          <w:rFonts w:hAnsi="Times New Roman" w:cs="Times New Roman"/>
          <w:color w:val="auto"/>
        </w:rPr>
        <w:t>to</w:t>
      </w:r>
      <w:r w:rsidRPr="004C6039">
        <w:rPr>
          <w:rFonts w:hAnsi="Times New Roman" w:cs="Times New Roman"/>
          <w:color w:val="auto"/>
        </w:rPr>
        <w:t xml:space="preserve"> conventional economic reasoning </w:t>
      </w:r>
      <w:r w:rsidR="000D0466">
        <w:rPr>
          <w:rFonts w:hAnsi="Times New Roman" w:cs="Times New Roman"/>
          <w:color w:val="auto"/>
        </w:rPr>
        <w:t xml:space="preserve">in this context </w:t>
      </w:r>
      <w:r w:rsidRPr="004C6039">
        <w:rPr>
          <w:rFonts w:hAnsi="Times New Roman" w:cs="Times New Roman"/>
          <w:color w:val="auto"/>
        </w:rPr>
        <w:t>is even more compelling</w:t>
      </w:r>
      <w:r w:rsidR="000D0466">
        <w:rPr>
          <w:rFonts w:hAnsi="Times New Roman" w:cs="Times New Roman"/>
          <w:color w:val="auto"/>
        </w:rPr>
        <w:t>.</w:t>
      </w:r>
      <w:r w:rsidRPr="004C6039">
        <w:rPr>
          <w:rFonts w:hAnsi="Times New Roman" w:cs="Times New Roman"/>
          <w:color w:val="auto"/>
        </w:rPr>
        <w:t xml:space="preserve"> </w:t>
      </w:r>
    </w:p>
    <w:p w14:paraId="63A54380" w14:textId="77777777" w:rsidR="000D0466" w:rsidRDefault="000D0466" w:rsidP="000D0466">
      <w:pPr>
        <w:ind w:firstLine="720"/>
        <w:rPr>
          <w:rFonts w:hAnsi="Times New Roman" w:cs="Times New Roman"/>
          <w:color w:val="auto"/>
        </w:rPr>
      </w:pPr>
    </w:p>
    <w:p w14:paraId="561B7F55" w14:textId="1BA32B3D" w:rsidR="00764BBF" w:rsidRPr="00DD1543" w:rsidRDefault="000D0466" w:rsidP="0052688E">
      <w:pPr>
        <w:ind w:firstLine="720"/>
      </w:pPr>
      <w:r>
        <w:rPr>
          <w:rFonts w:hAnsi="Times New Roman" w:cs="Times New Roman"/>
          <w:color w:val="auto"/>
        </w:rPr>
        <w:t>Contemporary research suggests that h</w:t>
      </w:r>
      <w:r w:rsidR="001969B8" w:rsidRPr="00DD1543">
        <w:rPr>
          <w:rFonts w:hAnsi="Times New Roman" w:cs="Times New Roman"/>
          <w:color w:val="auto"/>
        </w:rPr>
        <w:t xml:space="preserve">uman capital spillovers </w:t>
      </w:r>
      <w:r w:rsidR="001969B8">
        <w:rPr>
          <w:rFonts w:hAnsi="Times New Roman" w:cs="Times New Roman"/>
          <w:color w:val="auto"/>
        </w:rPr>
        <w:t>should not</w:t>
      </w:r>
      <w:r w:rsidR="001969B8" w:rsidRPr="00DD1543">
        <w:rPr>
          <w:rFonts w:hAnsi="Times New Roman" w:cs="Times New Roman"/>
          <w:color w:val="auto"/>
        </w:rPr>
        <w:t xml:space="preserve"> be understood as a market failure</w:t>
      </w:r>
      <w:r w:rsidR="001969B8">
        <w:rPr>
          <w:rFonts w:hAnsi="Times New Roman" w:cs="Times New Roman"/>
          <w:color w:val="auto"/>
        </w:rPr>
        <w:t>,</w:t>
      </w:r>
      <w:r w:rsidR="001969B8" w:rsidRPr="00DD1543">
        <w:rPr>
          <w:rFonts w:hAnsi="Times New Roman" w:cs="Times New Roman"/>
          <w:color w:val="auto"/>
        </w:rPr>
        <w:t xml:space="preserve"> but</w:t>
      </w:r>
      <w:r w:rsidR="001969B8">
        <w:rPr>
          <w:rFonts w:hAnsi="Times New Roman" w:cs="Times New Roman"/>
          <w:color w:val="auto"/>
        </w:rPr>
        <w:t xml:space="preserve"> as</w:t>
      </w:r>
      <w:r w:rsidR="001969B8" w:rsidRPr="00DD1543">
        <w:rPr>
          <w:rFonts w:hAnsi="Times New Roman" w:cs="Times New Roman"/>
          <w:color w:val="auto"/>
        </w:rPr>
        <w:t xml:space="preserve"> a constitutive part of the market itself. </w:t>
      </w:r>
      <w:r w:rsidR="004F42D9">
        <w:rPr>
          <w:rFonts w:hAnsi="Times New Roman" w:cs="Times New Roman"/>
          <w:color w:val="auto"/>
        </w:rPr>
        <w:t xml:space="preserve">In 1813 Thomas Jefferson wrote, </w:t>
      </w:r>
      <w:r w:rsidR="004F42D9" w:rsidRPr="00DD1543">
        <w:rPr>
          <w:rFonts w:hAnsi="Times New Roman" w:cs="Times New Roman"/>
          <w:color w:val="auto"/>
        </w:rPr>
        <w:t>“If nature has made any one thing less susceptible than all others of exclusive property, it is the action of the thinking power called an idea</w:t>
      </w:r>
      <w:r w:rsidR="004F42D9">
        <w:rPr>
          <w:rFonts w:hAnsi="Times New Roman" w:cs="Times New Roman"/>
          <w:color w:val="auto"/>
        </w:rPr>
        <w:t>.”</w:t>
      </w:r>
      <w:r w:rsidR="009F1C93">
        <w:rPr>
          <w:rStyle w:val="FootnoteReference"/>
          <w:rFonts w:hAnsi="Times New Roman" w:cs="Times New Roman"/>
          <w:color w:val="auto"/>
        </w:rPr>
        <w:footnoteReference w:id="213"/>
      </w:r>
      <w:r w:rsidR="00F4741C">
        <w:rPr>
          <w:rFonts w:hAnsi="Times New Roman" w:cs="Times New Roman"/>
          <w:color w:val="auto"/>
        </w:rPr>
        <w:t xml:space="preserve"> </w:t>
      </w:r>
      <w:r w:rsidR="003F77C0">
        <w:rPr>
          <w:rFonts w:hAnsi="Times New Roman" w:cs="Times New Roman"/>
          <w:color w:val="auto"/>
        </w:rPr>
        <w:t>And yet, knowledge, information</w:t>
      </w:r>
      <w:r w:rsidR="001969B8">
        <w:rPr>
          <w:rFonts w:hAnsi="Times New Roman" w:cs="Times New Roman"/>
          <w:color w:val="auto"/>
        </w:rPr>
        <w:t>,</w:t>
      </w:r>
      <w:r w:rsidR="003F77C0">
        <w:rPr>
          <w:rFonts w:hAnsi="Times New Roman" w:cs="Times New Roman"/>
          <w:color w:val="auto"/>
        </w:rPr>
        <w:t xml:space="preserve"> and ideas have </w:t>
      </w:r>
      <w:r w:rsidR="001969B8">
        <w:rPr>
          <w:rFonts w:hAnsi="Times New Roman" w:cs="Times New Roman"/>
          <w:color w:val="auto"/>
        </w:rPr>
        <w:t xml:space="preserve">increasingly </w:t>
      </w:r>
      <w:r w:rsidR="003F77C0">
        <w:rPr>
          <w:rFonts w:hAnsi="Times New Roman" w:cs="Times New Roman"/>
          <w:color w:val="auto"/>
        </w:rPr>
        <w:t xml:space="preserve">become the subject of exclusive property. </w:t>
      </w:r>
      <w:r>
        <w:t>At the same time,</w:t>
      </w:r>
      <w:r w:rsidR="003C7A92">
        <w:t xml:space="preserve"> </w:t>
      </w:r>
      <w:r>
        <w:t>new</w:t>
      </w:r>
      <w:r w:rsidRPr="00DD1543">
        <w:t xml:space="preserve"> research </w:t>
      </w:r>
      <w:r w:rsidR="003C7A92">
        <w:t xml:space="preserve">overwhelmingly </w:t>
      </w:r>
      <w:r w:rsidRPr="00DD1543">
        <w:t xml:space="preserve">points to a clear connection between </w:t>
      </w:r>
      <w:r>
        <w:t>human capital flow</w:t>
      </w:r>
      <w:r w:rsidRPr="00DD1543">
        <w:t xml:space="preserve"> and economic growth. </w:t>
      </w:r>
      <w:r w:rsidR="0052688E">
        <w:rPr>
          <w:rFonts w:hAnsi="Times New Roman" w:cs="Times New Roman"/>
          <w:color w:val="auto"/>
        </w:rPr>
        <w:t xml:space="preserve">As the previous sections have shown, human capital law has developed as a patchwork, consisting of important jurisdictional variations. Recent empirical studies in innovation exploit these natural experiments </w:t>
      </w:r>
      <w:r w:rsidR="004F045B">
        <w:rPr>
          <w:rFonts w:hAnsi="Times New Roman" w:cs="Times New Roman"/>
          <w:color w:val="auto"/>
        </w:rPr>
        <w:t>i</w:t>
      </w:r>
      <w:r w:rsidR="0052688E">
        <w:rPr>
          <w:rFonts w:hAnsi="Times New Roman" w:cs="Times New Roman"/>
          <w:color w:val="auto"/>
        </w:rPr>
        <w:t>n human capital law.</w:t>
      </w:r>
      <w:r w:rsidR="0052688E" w:rsidRPr="00DD1543">
        <w:rPr>
          <w:rFonts w:hAnsi="Times New Roman" w:cs="Times New Roman"/>
          <w:color w:val="auto"/>
          <w:vertAlign w:val="superscript"/>
        </w:rPr>
        <w:footnoteReference w:id="214"/>
      </w:r>
      <w:r w:rsidR="0052688E" w:rsidRPr="00DD1543">
        <w:rPr>
          <w:rFonts w:hAnsi="Times New Roman" w:cs="Times New Roman"/>
          <w:color w:val="auto"/>
        </w:rPr>
        <w:t xml:space="preserve"> </w:t>
      </w:r>
      <w:r w:rsidR="0052688E">
        <w:rPr>
          <w:rFonts w:hAnsi="Times New Roman" w:cs="Times New Roman"/>
          <w:color w:val="auto"/>
        </w:rPr>
        <w:t xml:space="preserve">In several recent studies, </w:t>
      </w:r>
      <w:r w:rsidR="0052688E" w:rsidRPr="00DD1543">
        <w:rPr>
          <w:rFonts w:hAnsi="Times New Roman" w:cs="Times New Roman"/>
          <w:color w:val="auto"/>
        </w:rPr>
        <w:t xml:space="preserve">examining dozens of </w:t>
      </w:r>
      <w:r w:rsidR="0052688E">
        <w:rPr>
          <w:rFonts w:hAnsi="Times New Roman" w:cs="Times New Roman"/>
          <w:color w:val="auto"/>
        </w:rPr>
        <w:t>regions across the United States,</w:t>
      </w:r>
      <w:r w:rsidR="0052688E" w:rsidRPr="00DD1543">
        <w:rPr>
          <w:rFonts w:hAnsi="Times New Roman" w:cs="Times New Roman"/>
          <w:color w:val="auto"/>
        </w:rPr>
        <w:t xml:space="preserve"> human capital restrictions </w:t>
      </w:r>
      <w:r w:rsidR="003419A7">
        <w:rPr>
          <w:rFonts w:hAnsi="Times New Roman" w:cs="Times New Roman"/>
          <w:color w:val="auto"/>
        </w:rPr>
        <w:t>were</w:t>
      </w:r>
      <w:r w:rsidR="0052688E">
        <w:rPr>
          <w:rFonts w:hAnsi="Times New Roman" w:cs="Times New Roman"/>
          <w:color w:val="auto"/>
        </w:rPr>
        <w:t xml:space="preserve"> found to impede not only job mobility but also</w:t>
      </w:r>
      <w:r w:rsidR="0052688E" w:rsidRPr="00DD1543">
        <w:rPr>
          <w:rFonts w:hAnsi="Times New Roman" w:cs="Times New Roman"/>
          <w:color w:val="auto"/>
        </w:rPr>
        <w:t xml:space="preserve"> innovation and entrepreneurship.</w:t>
      </w:r>
      <w:r w:rsidR="0052688E" w:rsidRPr="00DD1543">
        <w:rPr>
          <w:rFonts w:hAnsi="Times New Roman" w:cs="Times New Roman"/>
          <w:color w:val="auto"/>
          <w:vertAlign w:val="superscript"/>
        </w:rPr>
        <w:footnoteReference w:id="215"/>
      </w:r>
      <w:r w:rsidR="004F045B">
        <w:rPr>
          <w:rFonts w:hAnsi="Times New Roman" w:cs="Times New Roman"/>
          <w:color w:val="auto"/>
        </w:rPr>
        <w:t xml:space="preserve"> </w:t>
      </w:r>
      <w:r>
        <w:t xml:space="preserve">Mobility in the labor market is correlated with increased </w:t>
      </w:r>
      <w:r w:rsidRPr="00DD1543">
        <w:t>competition, deployment o</w:t>
      </w:r>
      <w:r>
        <w:t>f skills in the market, densification of</w:t>
      </w:r>
      <w:r w:rsidRPr="00DD1543">
        <w:t xml:space="preserve"> knowledge networks, and knowledge spillovers.</w:t>
      </w:r>
      <w:r>
        <w:rPr>
          <w:rStyle w:val="FootnoteReference"/>
          <w:rFonts w:hAnsi="Times New Roman" w:cs="Times New Roman"/>
          <w:color w:val="auto"/>
        </w:rPr>
        <w:footnoteReference w:id="216"/>
      </w:r>
      <w:r>
        <w:t xml:space="preserve"> </w:t>
      </w:r>
      <w:r w:rsidRPr="00DD1543">
        <w:t>Running in direct contrast to the simplified predictions</w:t>
      </w:r>
      <w:r>
        <w:t xml:space="preserve"> that more controls increase growth and innovation</w:t>
      </w:r>
      <w:r w:rsidRPr="00DD1543">
        <w:t>, empirical findings suggest that firms increase their R&amp;D efforts and expenditures when employee turnover and knowledge spillovers increase.</w:t>
      </w:r>
      <w:r>
        <w:rPr>
          <w:rStyle w:val="FootnoteReference"/>
          <w:rFonts w:hAnsi="Times New Roman" w:cs="Times New Roman"/>
          <w:color w:val="auto"/>
        </w:rPr>
        <w:footnoteReference w:id="217"/>
      </w:r>
      <w:r w:rsidRPr="000D0466">
        <w:rPr>
          <w:rFonts w:hAnsi="Times New Roman" w:cs="Times New Roman"/>
          <w:color w:val="auto"/>
        </w:rPr>
        <w:t xml:space="preserve"> </w:t>
      </w:r>
      <w:r w:rsidRPr="00DD1543">
        <w:rPr>
          <w:rFonts w:hAnsi="Times New Roman" w:cs="Times New Roman"/>
          <w:color w:val="auto"/>
        </w:rPr>
        <w:t>New models of economic growth help link human capital flows and regional success.</w:t>
      </w:r>
      <w:r w:rsidRPr="00DD1543">
        <w:rPr>
          <w:rFonts w:hAnsi="Times New Roman" w:cs="Times New Roman"/>
          <w:color w:val="auto"/>
          <w:vertAlign w:val="superscript"/>
        </w:rPr>
        <w:footnoteReference w:id="218"/>
      </w:r>
      <w:r w:rsidRPr="00DD1543">
        <w:t xml:space="preserve"> </w:t>
      </w:r>
      <w:r w:rsidR="00932D97">
        <w:rPr>
          <w:rFonts w:hAnsi="Times New Roman" w:cs="Times New Roman"/>
          <w:color w:val="auto"/>
        </w:rPr>
        <w:t>For many years, economists have attempted to answer a key puzzle: why</w:t>
      </w:r>
      <w:r w:rsidR="003F256D">
        <w:rPr>
          <w:rFonts w:hAnsi="Times New Roman" w:cs="Times New Roman"/>
          <w:color w:val="auto"/>
        </w:rPr>
        <w:t xml:space="preserve"> do</w:t>
      </w:r>
      <w:r w:rsidR="00932D97">
        <w:rPr>
          <w:rFonts w:hAnsi="Times New Roman" w:cs="Times New Roman"/>
          <w:color w:val="auto"/>
        </w:rPr>
        <w:t xml:space="preserve"> similarly situated regions vary so dramatically in their growth rates</w:t>
      </w:r>
      <w:r w:rsidR="003F256D">
        <w:rPr>
          <w:rFonts w:hAnsi="Times New Roman" w:cs="Times New Roman"/>
          <w:color w:val="auto"/>
        </w:rPr>
        <w:t>?</w:t>
      </w:r>
      <w:r w:rsidR="00932D97">
        <w:rPr>
          <w:rFonts w:hAnsi="Times New Roman" w:cs="Times New Roman"/>
          <w:color w:val="auto"/>
        </w:rPr>
        <w:t xml:space="preserve"> </w:t>
      </w:r>
      <w:r w:rsidR="00932D97" w:rsidRPr="00DD1543">
        <w:rPr>
          <w:rFonts w:hAnsi="Times New Roman" w:cs="Times New Roman"/>
          <w:color w:val="auto"/>
        </w:rPr>
        <w:t>Under endogenous growth theory, economic growth relies not simply on competitive win-lose production, but on processes of positive spillovers, in which knowledge is transferred within industries and regions. Endogenous growth theory favors investment in human capital as the central ingredient for economic success. Mobility triggers an upward cycle to create agglomeration economies.</w:t>
      </w:r>
      <w:r w:rsidR="00932D97" w:rsidRPr="00DD1543">
        <w:rPr>
          <w:rFonts w:hAnsi="Times New Roman" w:cs="Times New Roman"/>
          <w:color w:val="auto"/>
          <w:vertAlign w:val="superscript"/>
        </w:rPr>
        <w:footnoteReference w:id="219"/>
      </w:r>
      <w:r w:rsidR="00932D97">
        <w:rPr>
          <w:rFonts w:hAnsi="Times New Roman" w:cs="Times New Roman"/>
          <w:color w:val="auto"/>
        </w:rPr>
        <w:t xml:space="preserve"> </w:t>
      </w:r>
      <w:r w:rsidRPr="00DD1543">
        <w:t>Regions that encourage human capital mobility are also able to attract more human capital from other regions.</w:t>
      </w:r>
      <w:r w:rsidR="00932D97">
        <w:rPr>
          <w:rStyle w:val="FootnoteReference"/>
        </w:rPr>
        <w:footnoteReference w:id="220"/>
      </w:r>
      <w:r w:rsidRPr="00DD1543">
        <w:t xml:space="preserve"> </w:t>
      </w:r>
      <w:r w:rsidR="00764BBF">
        <w:rPr>
          <w:rFonts w:hAnsi="Times New Roman" w:cs="Times New Roman"/>
          <w:color w:val="auto"/>
        </w:rPr>
        <w:t>H</w:t>
      </w:r>
      <w:r w:rsidR="00764BBF" w:rsidRPr="00DD1543">
        <w:rPr>
          <w:rFonts w:hAnsi="Times New Roman" w:cs="Times New Roman"/>
          <w:color w:val="auto"/>
        </w:rPr>
        <w:t xml:space="preserve">igh employee turnover, regional human capital concentration, and </w:t>
      </w:r>
      <w:r w:rsidR="00764BBF">
        <w:rPr>
          <w:rFonts w:hAnsi="Times New Roman" w:cs="Times New Roman"/>
          <w:color w:val="auto"/>
        </w:rPr>
        <w:t>density of p</w:t>
      </w:r>
      <w:r w:rsidR="00764BBF" w:rsidRPr="00DD1543">
        <w:rPr>
          <w:rFonts w:hAnsi="Times New Roman" w:cs="Times New Roman"/>
          <w:color w:val="auto"/>
        </w:rPr>
        <w:t xml:space="preserve">rofessional networks </w:t>
      </w:r>
      <w:r w:rsidR="00764BBF">
        <w:rPr>
          <w:rFonts w:hAnsi="Times New Roman" w:cs="Times New Roman"/>
          <w:color w:val="auto"/>
        </w:rPr>
        <w:t xml:space="preserve">all </w:t>
      </w:r>
      <w:r w:rsidR="00764BBF" w:rsidRPr="00DD1543">
        <w:rPr>
          <w:rFonts w:hAnsi="Times New Roman" w:cs="Times New Roman"/>
          <w:color w:val="auto"/>
        </w:rPr>
        <w:t>contribute to economic growth</w:t>
      </w:r>
      <w:r w:rsidR="00764BBF">
        <w:rPr>
          <w:rFonts w:hAnsi="Times New Roman" w:cs="Times New Roman"/>
          <w:color w:val="auto"/>
        </w:rPr>
        <w:t>.</w:t>
      </w:r>
      <w:r w:rsidR="00764BBF" w:rsidRPr="00DD1543">
        <w:rPr>
          <w:rFonts w:hAnsi="Times New Roman" w:cs="Times New Roman"/>
          <w:color w:val="auto"/>
          <w:vertAlign w:val="superscript"/>
        </w:rPr>
        <w:footnoteReference w:id="221"/>
      </w:r>
    </w:p>
    <w:p w14:paraId="77F0C70D" w14:textId="77777777" w:rsidR="00932D97" w:rsidRDefault="00932D97" w:rsidP="00932D97">
      <w:pPr>
        <w:ind w:firstLine="0"/>
        <w:rPr>
          <w:rFonts w:hAnsi="Times New Roman" w:cs="Times New Roman"/>
          <w:color w:val="auto"/>
        </w:rPr>
      </w:pPr>
    </w:p>
    <w:p w14:paraId="6B11427E" w14:textId="77777777" w:rsidR="000D0466" w:rsidRDefault="000D0466" w:rsidP="0052688E">
      <w:pPr>
        <w:ind w:firstLine="720"/>
        <w:rPr>
          <w:rFonts w:hAnsi="Times New Roman" w:cs="Times New Roman"/>
          <w:color w:val="auto"/>
        </w:rPr>
      </w:pPr>
      <w:r w:rsidRPr="00DD1543">
        <w:t xml:space="preserve">Instead of the simplified prediction that more controls </w:t>
      </w:r>
      <w:r>
        <w:t xml:space="preserve">over human capital </w:t>
      </w:r>
      <w:r w:rsidRPr="00DD1543">
        <w:t>will lead to m</w:t>
      </w:r>
      <w:r>
        <w:t xml:space="preserve">ore investment in human capital, the richer analysis </w:t>
      </w:r>
      <w:r w:rsidR="00932D97">
        <w:t xml:space="preserve">of the effects of cognitive property coupled with the empirical findings </w:t>
      </w:r>
      <w:r>
        <w:t xml:space="preserve">suggests that </w:t>
      </w:r>
      <w:r w:rsidR="006445F7">
        <w:t>the increased propertization of knowledge</w:t>
      </w:r>
      <w:r>
        <w:t xml:space="preserve"> can have devastating effects</w:t>
      </w:r>
      <w:r w:rsidRPr="00DD1543">
        <w:t>.</w:t>
      </w:r>
      <w:r w:rsidR="006445F7">
        <w:rPr>
          <w:rFonts w:hAnsi="Times New Roman" w:cs="Times New Roman"/>
          <w:color w:val="auto"/>
        </w:rPr>
        <w:t xml:space="preserve"> Drawing on the terms of commons/anti-commons debates in property law</w:t>
      </w:r>
      <w:r>
        <w:rPr>
          <w:rFonts w:hAnsi="Times New Roman" w:cs="Times New Roman"/>
          <w:color w:val="auto"/>
        </w:rPr>
        <w:t>,</w:t>
      </w:r>
      <w:r w:rsidRPr="00DD1543">
        <w:rPr>
          <w:rFonts w:hAnsi="Times New Roman" w:cs="Times New Roman"/>
          <w:color w:val="auto"/>
        </w:rPr>
        <w:t xml:space="preserve"> the underuse of people – the expansion of cognitive property – is perhaps the greatest tragedy of all.</w:t>
      </w:r>
      <w:r w:rsidRPr="00DD1543">
        <w:rPr>
          <w:rFonts w:hAnsi="Times New Roman" w:cs="Times New Roman"/>
          <w:color w:val="auto"/>
          <w:vertAlign w:val="superscript"/>
        </w:rPr>
        <w:footnoteReference w:id="222"/>
      </w:r>
      <w:r w:rsidRPr="00DD1543">
        <w:rPr>
          <w:rFonts w:hAnsi="Times New Roman" w:cs="Times New Roman"/>
          <w:color w:val="auto"/>
        </w:rPr>
        <w:t xml:space="preserve"> In blunt economic terms, the deadweight loss from controls and restrictions over human capital is the person herself who is prevented from using her talent, skill, and passion. </w:t>
      </w:r>
      <w:r>
        <w:rPr>
          <w:rFonts w:hAnsi="Times New Roman" w:cs="Times New Roman"/>
          <w:color w:val="auto"/>
        </w:rPr>
        <w:t>M</w:t>
      </w:r>
      <w:r w:rsidRPr="00DD1543">
        <w:rPr>
          <w:rFonts w:hAnsi="Times New Roman" w:cs="Times New Roman"/>
          <w:color w:val="auto"/>
        </w:rPr>
        <w:t>inds are made to suppress ideas</w:t>
      </w:r>
      <w:r>
        <w:rPr>
          <w:rFonts w:hAnsi="Times New Roman" w:cs="Times New Roman"/>
          <w:color w:val="auto"/>
        </w:rPr>
        <w:t xml:space="preserve">, </w:t>
      </w:r>
      <w:r w:rsidRPr="00DD1543">
        <w:rPr>
          <w:rFonts w:hAnsi="Times New Roman" w:cs="Times New Roman"/>
          <w:color w:val="auto"/>
        </w:rPr>
        <w:t>skill remains untapped</w:t>
      </w:r>
      <w:r>
        <w:rPr>
          <w:rFonts w:hAnsi="Times New Roman" w:cs="Times New Roman"/>
          <w:color w:val="auto"/>
        </w:rPr>
        <w:t>,</w:t>
      </w:r>
      <w:r w:rsidRPr="00DD1543">
        <w:rPr>
          <w:rFonts w:hAnsi="Times New Roman" w:cs="Times New Roman"/>
          <w:color w:val="auto"/>
        </w:rPr>
        <w:t xml:space="preserve"> knowledge is cut up into small fragments</w:t>
      </w:r>
      <w:r>
        <w:rPr>
          <w:rFonts w:hAnsi="Times New Roman" w:cs="Times New Roman"/>
          <w:color w:val="auto"/>
        </w:rPr>
        <w:t>, and</w:t>
      </w:r>
      <w:r w:rsidRPr="00DD1543">
        <w:rPr>
          <w:rFonts w:hAnsi="Times New Roman" w:cs="Times New Roman"/>
          <w:color w:val="auto"/>
        </w:rPr>
        <w:t xml:space="preserve"> people risk their very liberty </w:t>
      </w:r>
      <w:r>
        <w:rPr>
          <w:rFonts w:hAnsi="Times New Roman" w:cs="Times New Roman"/>
          <w:color w:val="auto"/>
        </w:rPr>
        <w:t>to</w:t>
      </w:r>
      <w:r w:rsidRPr="00DD1543">
        <w:rPr>
          <w:rFonts w:hAnsi="Times New Roman" w:cs="Times New Roman"/>
          <w:color w:val="auto"/>
        </w:rPr>
        <w:t xml:space="preserve"> move through their career</w:t>
      </w:r>
      <w:r>
        <w:rPr>
          <w:rFonts w:hAnsi="Times New Roman" w:cs="Times New Roman"/>
          <w:color w:val="auto"/>
        </w:rPr>
        <w:t xml:space="preserve">. </w:t>
      </w:r>
    </w:p>
    <w:p w14:paraId="1030D6E2" w14:textId="77777777" w:rsidR="00206571" w:rsidRDefault="00206571" w:rsidP="003253CD">
      <w:pPr>
        <w:ind w:firstLine="720"/>
        <w:rPr>
          <w:rFonts w:hAnsi="Times New Roman" w:cs="Times New Roman"/>
          <w:color w:val="auto"/>
        </w:rPr>
      </w:pPr>
    </w:p>
    <w:p w14:paraId="3CB0605D" w14:textId="7F9F97D2" w:rsidR="00D93C0D" w:rsidRDefault="009C3338" w:rsidP="009A2A84">
      <w:pPr>
        <w:rPr>
          <w:rFonts w:hAnsi="Times New Roman" w:cs="Times New Roman"/>
          <w:color w:val="auto"/>
        </w:rPr>
      </w:pPr>
      <w:r>
        <w:rPr>
          <w:rFonts w:hAnsi="Times New Roman" w:cs="Times New Roman"/>
          <w:color w:val="auto"/>
        </w:rPr>
        <w:tab/>
      </w:r>
      <w:r w:rsidR="00F4741C">
        <w:rPr>
          <w:rFonts w:hAnsi="Times New Roman" w:cs="Times New Roman"/>
          <w:color w:val="auto"/>
        </w:rPr>
        <w:t xml:space="preserve">Traditionally, </w:t>
      </w:r>
      <w:r w:rsidR="00F4741C" w:rsidRPr="00480CC8">
        <w:rPr>
          <w:rFonts w:hAnsi="Times New Roman" w:cs="Times New Roman"/>
          <w:color w:val="auto"/>
        </w:rPr>
        <w:t>i</w:t>
      </w:r>
      <w:r w:rsidR="003253CD" w:rsidRPr="00480CC8">
        <w:rPr>
          <w:rFonts w:hAnsi="Times New Roman" w:cs="Times New Roman"/>
          <w:color w:val="auto"/>
        </w:rPr>
        <w:t>ntellectual property regimes are purposely weak</w:t>
      </w:r>
      <w:r w:rsidR="003F256D">
        <w:rPr>
          <w:rFonts w:hAnsi="Times New Roman" w:cs="Times New Roman"/>
          <w:color w:val="auto"/>
        </w:rPr>
        <w:t xml:space="preserve"> and p</w:t>
      </w:r>
      <w:r w:rsidR="003253CD" w:rsidRPr="00480CC8">
        <w:rPr>
          <w:rFonts w:hAnsi="Times New Roman" w:cs="Times New Roman"/>
          <w:color w:val="auto"/>
        </w:rPr>
        <w:t xml:space="preserve">artiality </w:t>
      </w:r>
      <w:r w:rsidR="00F355FC">
        <w:rPr>
          <w:rFonts w:hAnsi="Times New Roman" w:cs="Times New Roman"/>
          <w:color w:val="auto"/>
        </w:rPr>
        <w:t>is</w:t>
      </w:r>
      <w:r w:rsidR="0052688E">
        <w:rPr>
          <w:rFonts w:hAnsi="Times New Roman" w:cs="Times New Roman"/>
          <w:color w:val="auto"/>
        </w:rPr>
        <w:t xml:space="preserve"> built into the law. Patent and copyright protections are granted for a limited time and each have thresholds for receiving the right and defenses for certain uses</w:t>
      </w:r>
      <w:r w:rsidR="003253CD" w:rsidRPr="00480CC8">
        <w:rPr>
          <w:rFonts w:hAnsi="Times New Roman" w:cs="Times New Roman"/>
          <w:color w:val="auto"/>
        </w:rPr>
        <w:t xml:space="preserve">. These laws also </w:t>
      </w:r>
      <w:r w:rsidR="008270F4" w:rsidRPr="00480CC8">
        <w:rPr>
          <w:rFonts w:hAnsi="Times New Roman" w:cs="Times New Roman"/>
          <w:color w:val="auto"/>
        </w:rPr>
        <w:t>guarantee</w:t>
      </w:r>
      <w:r w:rsidR="006011DD">
        <w:rPr>
          <w:rFonts w:hAnsi="Times New Roman" w:cs="Times New Roman"/>
          <w:color w:val="auto"/>
        </w:rPr>
        <w:t xml:space="preserve"> that</w:t>
      </w:r>
      <w:r w:rsidR="008270F4" w:rsidRPr="00480CC8">
        <w:rPr>
          <w:rFonts w:hAnsi="Times New Roman" w:cs="Times New Roman"/>
          <w:color w:val="auto"/>
        </w:rPr>
        <w:t xml:space="preserve"> </w:t>
      </w:r>
      <w:r w:rsidR="003253CD" w:rsidRPr="00480CC8">
        <w:rPr>
          <w:rFonts w:hAnsi="Times New Roman" w:cs="Times New Roman"/>
          <w:color w:val="auto"/>
        </w:rPr>
        <w:t xml:space="preserve">the underlying information is disclosed to the public as part of the bargain of exclusivity. Looking through the lens of </w:t>
      </w:r>
      <w:r w:rsidR="0052688E">
        <w:rPr>
          <w:rFonts w:hAnsi="Times New Roman" w:cs="Times New Roman"/>
          <w:color w:val="auto"/>
        </w:rPr>
        <w:t xml:space="preserve">positive externalities, or </w:t>
      </w:r>
      <w:r w:rsidR="003253CD" w:rsidRPr="00C9548C">
        <w:rPr>
          <w:rFonts w:hAnsi="Times New Roman" w:cs="Times New Roman"/>
          <w:color w:val="auto"/>
        </w:rPr>
        <w:t>spillovers</w:t>
      </w:r>
      <w:r w:rsidR="0052688E" w:rsidRPr="00C9548C">
        <w:rPr>
          <w:rFonts w:hAnsi="Times New Roman" w:cs="Times New Roman"/>
          <w:color w:val="auto"/>
        </w:rPr>
        <w:t>,</w:t>
      </w:r>
      <w:r w:rsidR="003253CD" w:rsidRPr="00C9548C">
        <w:rPr>
          <w:rFonts w:hAnsi="Times New Roman" w:cs="Times New Roman"/>
          <w:color w:val="auto"/>
        </w:rPr>
        <w:t xml:space="preserve"> helps explain why </w:t>
      </w:r>
      <w:r w:rsidR="0052688E" w:rsidRPr="00C9548C">
        <w:rPr>
          <w:rFonts w:hAnsi="Times New Roman" w:cs="Times New Roman"/>
          <w:color w:val="auto"/>
        </w:rPr>
        <w:t>these built-in weaknesses</w:t>
      </w:r>
      <w:r w:rsidR="003253CD" w:rsidRPr="00C9548C">
        <w:rPr>
          <w:rFonts w:hAnsi="Times New Roman" w:cs="Times New Roman"/>
          <w:color w:val="auto"/>
        </w:rPr>
        <w:t xml:space="preserve"> are </w:t>
      </w:r>
      <w:r w:rsidR="0052688E" w:rsidRPr="00C9548C">
        <w:rPr>
          <w:rFonts w:hAnsi="Times New Roman" w:cs="Times New Roman"/>
          <w:color w:val="auto"/>
        </w:rPr>
        <w:t>a feature, not a flaw</w:t>
      </w:r>
      <w:r w:rsidR="003253CD" w:rsidRPr="00C9548C">
        <w:rPr>
          <w:rFonts w:hAnsi="Times New Roman" w:cs="Times New Roman"/>
          <w:color w:val="auto"/>
        </w:rPr>
        <w:t xml:space="preserve">. </w:t>
      </w:r>
      <w:r w:rsidR="0052688E" w:rsidRPr="00C9548C">
        <w:rPr>
          <w:rFonts w:hAnsi="Times New Roman" w:cs="Times New Roman"/>
          <w:color w:val="auto"/>
        </w:rPr>
        <w:t>IP laws</w:t>
      </w:r>
      <w:r w:rsidR="0052688E" w:rsidRPr="009342B8">
        <w:rPr>
          <w:rFonts w:hAnsi="Times New Roman" w:cs="Times New Roman"/>
        </w:rPr>
        <w:t xml:space="preserve"> are meant to promote progress, </w:t>
      </w:r>
      <w:r w:rsidR="009A2A84">
        <w:rPr>
          <w:rFonts w:hAnsi="Times New Roman" w:cs="Times New Roman"/>
        </w:rPr>
        <w:t>“not the creation of private fortunes for the owners of patents</w:t>
      </w:r>
      <w:r w:rsidR="0052688E" w:rsidRPr="009342B8">
        <w:rPr>
          <w:rFonts w:hAnsi="Times New Roman" w:cs="Times New Roman"/>
        </w:rPr>
        <w:t>.”</w:t>
      </w:r>
      <w:r w:rsidR="0052688E" w:rsidRPr="009342B8">
        <w:rPr>
          <w:rStyle w:val="FootnoteReference"/>
          <w:rFonts w:hAnsi="Times New Roman" w:cs="Times New Roman"/>
        </w:rPr>
        <w:footnoteReference w:id="223"/>
      </w:r>
      <w:r w:rsidR="0052688E" w:rsidRPr="009342B8">
        <w:rPr>
          <w:rFonts w:hAnsi="Times New Roman" w:cs="Times New Roman"/>
        </w:rPr>
        <w:t xml:space="preserve"> In human capital law, t</w:t>
      </w:r>
      <w:r w:rsidR="00C55FF9" w:rsidRPr="00C9548C">
        <w:rPr>
          <w:rFonts w:hAnsi="Times New Roman" w:cs="Times New Roman"/>
          <w:color w:val="auto"/>
        </w:rPr>
        <w:t>he bargain of a</w:t>
      </w:r>
      <w:r w:rsidR="00C55FF9" w:rsidRPr="00480CC8">
        <w:rPr>
          <w:rFonts w:hAnsi="Times New Roman" w:cs="Times New Roman"/>
          <w:color w:val="auto"/>
        </w:rPr>
        <w:t xml:space="preserve"> limited monopoly in return for disclosure </w:t>
      </w:r>
      <w:r w:rsidR="00480CC8">
        <w:rPr>
          <w:rFonts w:hAnsi="Times New Roman" w:cs="Times New Roman"/>
          <w:color w:val="auto"/>
        </w:rPr>
        <w:t>is</w:t>
      </w:r>
      <w:r w:rsidR="008270F4" w:rsidRPr="00480CC8">
        <w:rPr>
          <w:rFonts w:hAnsi="Times New Roman" w:cs="Times New Roman"/>
          <w:color w:val="auto"/>
        </w:rPr>
        <w:t xml:space="preserve"> </w:t>
      </w:r>
      <w:r w:rsidR="00C55FF9" w:rsidRPr="00480CC8">
        <w:rPr>
          <w:rFonts w:hAnsi="Times New Roman" w:cs="Times New Roman"/>
          <w:color w:val="auto"/>
        </w:rPr>
        <w:t xml:space="preserve">subverted. </w:t>
      </w:r>
      <w:r w:rsidR="0052688E">
        <w:rPr>
          <w:rFonts w:hAnsi="Times New Roman" w:cs="Times New Roman"/>
          <w:color w:val="auto"/>
        </w:rPr>
        <w:t xml:space="preserve">There is no public disclosure of secrets or cognitive ability that is fenced. </w:t>
      </w:r>
    </w:p>
    <w:p w14:paraId="556D9578" w14:textId="77777777" w:rsidR="00D93C0D" w:rsidRDefault="00D93C0D" w:rsidP="00D93C0D">
      <w:pPr>
        <w:rPr>
          <w:rFonts w:hAnsi="Times New Roman" w:cs="Times New Roman"/>
          <w:color w:val="auto"/>
        </w:rPr>
      </w:pPr>
    </w:p>
    <w:p w14:paraId="680BF395" w14:textId="77777777" w:rsidR="00764BBF" w:rsidRDefault="00D93C0D" w:rsidP="00D93C0D">
      <w:pPr>
        <w:rPr>
          <w:rFonts w:hAnsi="Times New Roman" w:cs="Times New Roman"/>
          <w:color w:val="auto"/>
        </w:rPr>
      </w:pPr>
      <w:r>
        <w:rPr>
          <w:rFonts w:hAnsi="Times New Roman" w:cs="Times New Roman"/>
          <w:color w:val="auto"/>
        </w:rPr>
        <w:t>In delineating IP rights, the courts have been charged with policing t</w:t>
      </w:r>
      <w:r w:rsidRPr="00DD1543">
        <w:rPr>
          <w:rFonts w:hAnsi="Times New Roman" w:cs="Times New Roman"/>
          <w:color w:val="auto"/>
        </w:rPr>
        <w:t>he</w:t>
      </w:r>
      <w:r>
        <w:rPr>
          <w:rFonts w:hAnsi="Times New Roman" w:cs="Times New Roman"/>
          <w:color w:val="auto"/>
        </w:rPr>
        <w:t xml:space="preserve"> boundaries</w:t>
      </w:r>
      <w:r w:rsidRPr="00DD1543">
        <w:rPr>
          <w:rFonts w:hAnsi="Times New Roman" w:cs="Times New Roman"/>
          <w:color w:val="auto"/>
        </w:rPr>
        <w:t xml:space="preserve"> between proprietary </w:t>
      </w:r>
      <w:r>
        <w:rPr>
          <w:rFonts w:hAnsi="Times New Roman" w:cs="Times New Roman"/>
          <w:color w:val="auto"/>
        </w:rPr>
        <w:t xml:space="preserve">information </w:t>
      </w:r>
      <w:r w:rsidRPr="00DD1543">
        <w:rPr>
          <w:rFonts w:hAnsi="Times New Roman" w:cs="Times New Roman"/>
          <w:color w:val="auto"/>
        </w:rPr>
        <w:t xml:space="preserve">and </w:t>
      </w:r>
      <w:r>
        <w:rPr>
          <w:rFonts w:hAnsi="Times New Roman" w:cs="Times New Roman"/>
          <w:color w:val="auto"/>
        </w:rPr>
        <w:t xml:space="preserve">knowledge that constitutes </w:t>
      </w:r>
      <w:r w:rsidRPr="00DD1543">
        <w:rPr>
          <w:rFonts w:hAnsi="Times New Roman" w:cs="Times New Roman"/>
          <w:color w:val="auto"/>
        </w:rPr>
        <w:t>the public domain</w:t>
      </w:r>
      <w:r>
        <w:rPr>
          <w:rFonts w:hAnsi="Times New Roman" w:cs="Times New Roman"/>
          <w:color w:val="auto"/>
        </w:rPr>
        <w:t xml:space="preserve">. </w:t>
      </w:r>
      <w:r w:rsidRPr="00DD1543">
        <w:rPr>
          <w:rFonts w:hAnsi="Times New Roman" w:cs="Times New Roman"/>
          <w:color w:val="auto"/>
        </w:rPr>
        <w:t xml:space="preserve">Courts regularly refuse to enforce contracts that attempt to restrict information </w:t>
      </w:r>
      <w:r>
        <w:rPr>
          <w:rFonts w:hAnsi="Times New Roman" w:cs="Times New Roman"/>
          <w:color w:val="auto"/>
        </w:rPr>
        <w:t>that</w:t>
      </w:r>
      <w:r w:rsidRPr="00DD1543">
        <w:rPr>
          <w:rFonts w:hAnsi="Times New Roman" w:cs="Times New Roman"/>
          <w:color w:val="auto"/>
        </w:rPr>
        <w:t xml:space="preserve"> belongs in the public domain. The Supreme Court </w:t>
      </w:r>
      <w:r>
        <w:rPr>
          <w:rFonts w:hAnsi="Times New Roman" w:cs="Times New Roman"/>
          <w:color w:val="auto"/>
        </w:rPr>
        <w:t xml:space="preserve">has </w:t>
      </w:r>
      <w:r w:rsidRPr="00DD1543">
        <w:rPr>
          <w:rFonts w:hAnsi="Times New Roman" w:cs="Times New Roman"/>
          <w:color w:val="auto"/>
        </w:rPr>
        <w:t>stated that information “which is in the public domain cannot be removed therefrom by action of the States.”</w:t>
      </w:r>
      <w:r w:rsidRPr="00DD1543">
        <w:rPr>
          <w:rFonts w:eastAsia="Times New Roman" w:hAnsi="Times New Roman" w:cs="Times New Roman"/>
          <w:color w:val="auto"/>
          <w:vertAlign w:val="superscript"/>
        </w:rPr>
        <w:footnoteReference w:id="224"/>
      </w:r>
      <w:r>
        <w:rPr>
          <w:rFonts w:hAnsi="Times New Roman" w:cs="Times New Roman"/>
          <w:color w:val="auto"/>
        </w:rPr>
        <w:t xml:space="preserve"> The</w:t>
      </w:r>
      <w:r w:rsidRPr="00DD1543">
        <w:rPr>
          <w:rFonts w:hAnsi="Times New Roman" w:cs="Times New Roman"/>
          <w:color w:val="auto"/>
        </w:rPr>
        <w:t xml:space="preserve"> </w:t>
      </w:r>
      <w:r>
        <w:rPr>
          <w:rFonts w:hAnsi="Times New Roman" w:cs="Times New Roman"/>
          <w:color w:val="auto"/>
        </w:rPr>
        <w:t>Court has also held</w:t>
      </w:r>
      <w:r w:rsidRPr="00DD1543">
        <w:rPr>
          <w:rFonts w:hAnsi="Times New Roman" w:cs="Times New Roman"/>
          <w:color w:val="auto"/>
        </w:rPr>
        <w:t xml:space="preserve"> that the Copyright and Patent Clause of the Constitution prohibited Congress from recognizing rights in the sub-copyrightab</w:t>
      </w:r>
      <w:r>
        <w:rPr>
          <w:rFonts w:hAnsi="Times New Roman" w:cs="Times New Roman"/>
          <w:color w:val="auto"/>
        </w:rPr>
        <w:t>le and sub-patentable materials.</w:t>
      </w:r>
      <w:r w:rsidRPr="00DD1543">
        <w:rPr>
          <w:rFonts w:eastAsia="Times New Roman" w:hAnsi="Times New Roman" w:cs="Times New Roman"/>
          <w:color w:val="auto"/>
          <w:vertAlign w:val="superscript"/>
        </w:rPr>
        <w:footnoteReference w:id="225"/>
      </w:r>
      <w:r w:rsidRPr="00DD1543">
        <w:rPr>
          <w:rFonts w:hAnsi="Times New Roman" w:cs="Times New Roman"/>
          <w:color w:val="auto"/>
        </w:rPr>
        <w:t xml:space="preserve"> </w:t>
      </w:r>
      <w:r>
        <w:rPr>
          <w:rFonts w:hAnsi="Times New Roman" w:cs="Times New Roman"/>
          <w:color w:val="auto"/>
        </w:rPr>
        <w:t>T</w:t>
      </w:r>
      <w:r w:rsidR="001969B8" w:rsidRPr="00DD1543">
        <w:rPr>
          <w:rFonts w:hAnsi="Times New Roman" w:cs="Times New Roman"/>
          <w:color w:val="auto"/>
        </w:rPr>
        <w:t xml:space="preserve">he </w:t>
      </w:r>
      <w:r w:rsidR="0052688E">
        <w:rPr>
          <w:rFonts w:hAnsi="Times New Roman" w:cs="Times New Roman"/>
          <w:color w:val="auto"/>
        </w:rPr>
        <w:t xml:space="preserve">Supreme </w:t>
      </w:r>
      <w:r w:rsidR="001969B8">
        <w:rPr>
          <w:rFonts w:hAnsi="Times New Roman" w:cs="Times New Roman"/>
          <w:color w:val="auto"/>
        </w:rPr>
        <w:t>C</w:t>
      </w:r>
      <w:r w:rsidR="001969B8" w:rsidRPr="00DD1543">
        <w:rPr>
          <w:rFonts w:hAnsi="Times New Roman" w:cs="Times New Roman"/>
          <w:color w:val="auto"/>
        </w:rPr>
        <w:t xml:space="preserve">ourt </w:t>
      </w:r>
      <w:r w:rsidR="0052688E">
        <w:rPr>
          <w:rFonts w:hAnsi="Times New Roman" w:cs="Times New Roman"/>
          <w:color w:val="auto"/>
        </w:rPr>
        <w:t xml:space="preserve">has </w:t>
      </w:r>
      <w:r w:rsidR="001969B8" w:rsidRPr="00DD1543">
        <w:rPr>
          <w:rFonts w:hAnsi="Times New Roman" w:cs="Times New Roman"/>
          <w:color w:val="auto"/>
        </w:rPr>
        <w:t>warned that state trade secrecy law should not encourage secrecy over patenting, for example by prohibiting reverse engineering.</w:t>
      </w:r>
      <w:r w:rsidR="001969B8" w:rsidRPr="00DD1543">
        <w:rPr>
          <w:rFonts w:eastAsia="Times New Roman" w:hAnsi="Times New Roman" w:cs="Times New Roman"/>
          <w:color w:val="auto"/>
          <w:vertAlign w:val="superscript"/>
        </w:rPr>
        <w:footnoteReference w:id="226"/>
      </w:r>
      <w:r w:rsidR="001969B8">
        <w:rPr>
          <w:rFonts w:hAnsi="Times New Roman" w:cs="Times New Roman"/>
          <w:color w:val="auto"/>
        </w:rPr>
        <w:t xml:space="preserve"> </w:t>
      </w:r>
      <w:r>
        <w:rPr>
          <w:rFonts w:hAnsi="Times New Roman" w:cs="Times New Roman"/>
          <w:color w:val="auto"/>
        </w:rPr>
        <w:t>In the context of patent licensing, the courts have held that s</w:t>
      </w:r>
      <w:r w:rsidR="001969B8" w:rsidRPr="00DD1543">
        <w:rPr>
          <w:rFonts w:hAnsi="Times New Roman" w:cs="Times New Roman"/>
          <w:color w:val="auto"/>
        </w:rPr>
        <w:t>tates</w:t>
      </w:r>
      <w:r>
        <w:rPr>
          <w:rFonts w:hAnsi="Times New Roman" w:cs="Times New Roman"/>
          <w:color w:val="auto"/>
        </w:rPr>
        <w:t xml:space="preserve"> are prohibited</w:t>
      </w:r>
      <w:r w:rsidR="001969B8" w:rsidRPr="00DD1543">
        <w:rPr>
          <w:rFonts w:hAnsi="Times New Roman" w:cs="Times New Roman"/>
          <w:color w:val="auto"/>
        </w:rPr>
        <w:t xml:space="preserve"> from allowing tort claims to protect unpatented information</w:t>
      </w:r>
      <w:r>
        <w:rPr>
          <w:rFonts w:hAnsi="Times New Roman" w:cs="Times New Roman"/>
          <w:color w:val="auto"/>
        </w:rPr>
        <w:t xml:space="preserve">, enforcing </w:t>
      </w:r>
      <w:r w:rsidR="001969B8" w:rsidRPr="00DD1543">
        <w:rPr>
          <w:rFonts w:hAnsi="Times New Roman" w:cs="Times New Roman"/>
          <w:color w:val="auto"/>
        </w:rPr>
        <w:t xml:space="preserve">agreements to license patents after their expiration or to enforce royalty agreements for </w:t>
      </w:r>
      <w:r w:rsidR="001969B8">
        <w:rPr>
          <w:rFonts w:hAnsi="Times New Roman" w:cs="Times New Roman"/>
          <w:color w:val="auto"/>
        </w:rPr>
        <w:t xml:space="preserve">invalidated </w:t>
      </w:r>
      <w:r w:rsidR="001969B8" w:rsidRPr="00DD1543">
        <w:rPr>
          <w:rFonts w:hAnsi="Times New Roman" w:cs="Times New Roman"/>
          <w:color w:val="auto"/>
        </w:rPr>
        <w:t>patents.</w:t>
      </w:r>
      <w:r w:rsidR="001969B8" w:rsidRPr="00DD1543">
        <w:rPr>
          <w:rFonts w:eastAsia="Times New Roman" w:hAnsi="Times New Roman" w:cs="Times New Roman"/>
          <w:color w:val="auto"/>
          <w:vertAlign w:val="superscript"/>
        </w:rPr>
        <w:footnoteReference w:id="227"/>
      </w:r>
      <w:r w:rsidR="00764BBF">
        <w:rPr>
          <w:rFonts w:hAnsi="Times New Roman" w:cs="Times New Roman"/>
          <w:color w:val="auto"/>
        </w:rPr>
        <w:t xml:space="preserve"> </w:t>
      </w:r>
      <w:r>
        <w:rPr>
          <w:rFonts w:hAnsi="Times New Roman" w:cs="Times New Roman"/>
          <w:color w:val="auto"/>
        </w:rPr>
        <w:t>As the previous sections have explored, this wisdom has not been applied to the under-the-radar development of human capital law, which propertizes knowledge that IP law has placed in the public domain.</w:t>
      </w:r>
    </w:p>
    <w:p w14:paraId="2D8C96E9" w14:textId="77777777" w:rsidR="003F77C0" w:rsidRDefault="003F77C0" w:rsidP="00473D26">
      <w:pPr>
        <w:rPr>
          <w:rFonts w:hAnsi="Times New Roman" w:cs="Times New Roman"/>
          <w:color w:val="auto"/>
        </w:rPr>
      </w:pPr>
    </w:p>
    <w:p w14:paraId="0586452F" w14:textId="77777777" w:rsidR="009209A4" w:rsidRDefault="00425036" w:rsidP="00D93C0D">
      <w:pPr>
        <w:ind w:firstLine="0"/>
      </w:pPr>
      <w:r>
        <w:rPr>
          <w:rFonts w:hAnsi="Times New Roman" w:cs="Times New Roman"/>
          <w:color w:val="auto"/>
        </w:rPr>
        <w:tab/>
      </w:r>
    </w:p>
    <w:p w14:paraId="0B18DC11" w14:textId="77777777" w:rsidR="007F1F19" w:rsidRPr="00DD1543" w:rsidRDefault="00B92CBD" w:rsidP="00CE27BB">
      <w:pPr>
        <w:pStyle w:val="Heading2"/>
        <w:ind w:left="1710" w:firstLine="0"/>
        <w:jc w:val="both"/>
      </w:pPr>
      <w:bookmarkStart w:id="35" w:name="_Toc399167405"/>
      <w:r>
        <w:rPr>
          <w:rFonts w:eastAsia="Arial Unicode MS"/>
        </w:rPr>
        <w:t>C.</w:t>
      </w:r>
      <w:r w:rsidR="00DA1DF8">
        <w:rPr>
          <w:rFonts w:eastAsia="Arial Unicode MS"/>
        </w:rPr>
        <w:t xml:space="preserve"> </w:t>
      </w:r>
      <w:r w:rsidR="002318AA" w:rsidRPr="00DD1543">
        <w:rPr>
          <w:rFonts w:eastAsia="Arial Unicode MS"/>
        </w:rPr>
        <w:t>The Scorpion</w:t>
      </w:r>
      <w:r w:rsidR="00E92C27">
        <w:rPr>
          <w:rFonts w:eastAsia="Arial Unicode MS"/>
        </w:rPr>
        <w:t xml:space="preserve"> Always</w:t>
      </w:r>
      <w:r w:rsidR="002318AA" w:rsidRPr="00DD1543">
        <w:rPr>
          <w:rFonts w:eastAsia="Arial Unicode MS"/>
        </w:rPr>
        <w:t xml:space="preserve"> Stings</w:t>
      </w:r>
      <w:bookmarkEnd w:id="35"/>
    </w:p>
    <w:p w14:paraId="53BF304C" w14:textId="77777777" w:rsidR="007F1F19" w:rsidRPr="00DD1543" w:rsidRDefault="007F1F19">
      <w:pPr>
        <w:rPr>
          <w:rFonts w:hAnsi="Times New Roman" w:cs="Times New Roman"/>
          <w:color w:val="auto"/>
        </w:rPr>
      </w:pPr>
    </w:p>
    <w:p w14:paraId="68ACAF52" w14:textId="77777777" w:rsidR="009B3C45" w:rsidRPr="00887D2A" w:rsidRDefault="00CB67D9" w:rsidP="00682450">
      <w:pPr>
        <w:rPr>
          <w:rFonts w:hAnsi="Times New Roman" w:cs="Times New Roman"/>
          <w:color w:val="auto"/>
        </w:rPr>
      </w:pPr>
      <w:r w:rsidRPr="00357235">
        <w:rPr>
          <w:rFonts w:hAnsi="Times New Roman" w:cs="Times New Roman"/>
          <w:color w:val="auto"/>
        </w:rPr>
        <w:t>While propertizing knowledge</w:t>
      </w:r>
      <w:r w:rsidR="00BA5127" w:rsidRPr="00357235">
        <w:rPr>
          <w:rFonts w:hAnsi="Times New Roman" w:cs="Times New Roman"/>
          <w:color w:val="auto"/>
        </w:rPr>
        <w:t xml:space="preserve"> </w:t>
      </w:r>
      <w:r w:rsidR="00357235" w:rsidRPr="000C0BD4">
        <w:rPr>
          <w:rFonts w:hAnsi="Times New Roman" w:cs="Times New Roman"/>
          <w:color w:val="auto"/>
        </w:rPr>
        <w:t>– tacit, relational, networked, motivational and disruptive</w:t>
      </w:r>
      <w:r w:rsidR="0070140C">
        <w:rPr>
          <w:rFonts w:hAnsi="Times New Roman" w:cs="Times New Roman"/>
          <w:color w:val="auto"/>
        </w:rPr>
        <w:t xml:space="preserve"> – </w:t>
      </w:r>
      <w:r w:rsidR="00BA5127" w:rsidRPr="00357235">
        <w:rPr>
          <w:rFonts w:hAnsi="Times New Roman" w:cs="Times New Roman"/>
          <w:color w:val="auto"/>
        </w:rPr>
        <w:t>out of the public domain</w:t>
      </w:r>
      <w:r w:rsidRPr="00357235">
        <w:rPr>
          <w:rFonts w:hAnsi="Times New Roman" w:cs="Times New Roman"/>
          <w:color w:val="auto"/>
        </w:rPr>
        <w:t xml:space="preserve"> </w:t>
      </w:r>
      <w:r w:rsidR="00BA5127" w:rsidRPr="00357235">
        <w:rPr>
          <w:rFonts w:hAnsi="Times New Roman" w:cs="Times New Roman"/>
          <w:color w:val="auto"/>
        </w:rPr>
        <w:t xml:space="preserve">is </w:t>
      </w:r>
      <w:r w:rsidR="00357235" w:rsidRPr="000C0BD4">
        <w:rPr>
          <w:rFonts w:hAnsi="Times New Roman" w:cs="Times New Roman"/>
          <w:color w:val="auto"/>
        </w:rPr>
        <w:t>in</w:t>
      </w:r>
      <w:r w:rsidRPr="00357235">
        <w:rPr>
          <w:rFonts w:hAnsi="Times New Roman" w:cs="Times New Roman"/>
          <w:color w:val="auto"/>
        </w:rPr>
        <w:t xml:space="preserve"> the market at large</w:t>
      </w:r>
      <w:r w:rsidR="00BA5127" w:rsidRPr="00357235">
        <w:rPr>
          <w:rFonts w:hAnsi="Times New Roman" w:cs="Times New Roman"/>
          <w:color w:val="auto"/>
        </w:rPr>
        <w:t>, the negative effects</w:t>
      </w:r>
      <w:r w:rsidRPr="00357235">
        <w:rPr>
          <w:rFonts w:hAnsi="Times New Roman" w:cs="Times New Roman"/>
          <w:color w:val="auto"/>
        </w:rPr>
        <w:t xml:space="preserve"> are also highly patterned.</w:t>
      </w:r>
      <w:r w:rsidRPr="00887D2A">
        <w:rPr>
          <w:rFonts w:hAnsi="Times New Roman" w:cs="Times New Roman"/>
          <w:color w:val="auto"/>
        </w:rPr>
        <w:t xml:space="preserve"> </w:t>
      </w:r>
      <w:r w:rsidR="00BA5127" w:rsidRPr="009342B8">
        <w:rPr>
          <w:rFonts w:hAnsi="Times New Roman" w:cs="Times New Roman"/>
          <w:color w:val="auto"/>
        </w:rPr>
        <w:t>Litigation against former employees is</w:t>
      </w:r>
      <w:r w:rsidR="00682450">
        <w:rPr>
          <w:rFonts w:hAnsi="Times New Roman" w:cs="Times New Roman"/>
          <w:color w:val="auto"/>
        </w:rPr>
        <w:t xml:space="preserve"> “fueled by emotion as much as financial desire.”</w:t>
      </w:r>
      <w:r w:rsidR="00BA5127" w:rsidRPr="009342B8">
        <w:rPr>
          <w:rStyle w:val="FootnoteReference"/>
          <w:rFonts w:hAnsi="Times New Roman" w:cs="Times New Roman"/>
          <w:color w:val="auto"/>
        </w:rPr>
        <w:footnoteReference w:id="228"/>
      </w:r>
      <w:r w:rsidR="00BA5127" w:rsidRPr="009342B8">
        <w:rPr>
          <w:rFonts w:hAnsi="Times New Roman" w:cs="Times New Roman"/>
          <w:color w:val="auto"/>
        </w:rPr>
        <w:t xml:space="preserve"> </w:t>
      </w:r>
      <w:r w:rsidR="002318AA" w:rsidRPr="00887D2A">
        <w:rPr>
          <w:rFonts w:hAnsi="Times New Roman" w:cs="Times New Roman"/>
          <w:color w:val="auto"/>
        </w:rPr>
        <w:t xml:space="preserve">On the first page of </w:t>
      </w:r>
      <w:r w:rsidR="004613E8" w:rsidRPr="00887D2A">
        <w:rPr>
          <w:rFonts w:hAnsi="Times New Roman" w:cs="Times New Roman"/>
          <w:color w:val="auto"/>
        </w:rPr>
        <w:t>Michael Lewis’</w:t>
      </w:r>
      <w:r w:rsidR="009A7093" w:rsidRPr="00887D2A">
        <w:rPr>
          <w:rFonts w:hAnsi="Times New Roman" w:cs="Times New Roman"/>
          <w:color w:val="auto"/>
        </w:rPr>
        <w:t xml:space="preserve"> </w:t>
      </w:r>
      <w:r w:rsidR="002318AA" w:rsidRPr="00887D2A">
        <w:rPr>
          <w:rFonts w:hAnsi="Times New Roman" w:cs="Times New Roman"/>
          <w:color w:val="auto"/>
        </w:rPr>
        <w:t xml:space="preserve">new book, </w:t>
      </w:r>
      <w:r w:rsidR="002318AA" w:rsidRPr="00887D2A">
        <w:rPr>
          <w:rFonts w:hAnsi="Times New Roman" w:cs="Times New Roman"/>
          <w:i/>
          <w:color w:val="auto"/>
        </w:rPr>
        <w:t>Flash Boys</w:t>
      </w:r>
      <w:r w:rsidR="002318AA" w:rsidRPr="00887D2A">
        <w:rPr>
          <w:rFonts w:hAnsi="Times New Roman" w:cs="Times New Roman"/>
          <w:color w:val="auto"/>
        </w:rPr>
        <w:t xml:space="preserve">, </w:t>
      </w:r>
      <w:r w:rsidR="00712108" w:rsidRPr="00887D2A">
        <w:rPr>
          <w:rFonts w:hAnsi="Times New Roman" w:cs="Times New Roman"/>
          <w:color w:val="auto"/>
        </w:rPr>
        <w:t>Lewis</w:t>
      </w:r>
      <w:r w:rsidR="002318AA" w:rsidRPr="00887D2A">
        <w:rPr>
          <w:rFonts w:hAnsi="Times New Roman" w:cs="Times New Roman"/>
          <w:color w:val="auto"/>
        </w:rPr>
        <w:t xml:space="preserve"> writes about Sergei Aleynikov’s imprisonment:</w:t>
      </w:r>
    </w:p>
    <w:p w14:paraId="43CEC337" w14:textId="77777777" w:rsidR="007F1F19" w:rsidRPr="00DD1543" w:rsidRDefault="007F1F19">
      <w:pPr>
        <w:rPr>
          <w:rFonts w:hAnsi="Times New Roman" w:cs="Times New Roman"/>
          <w:color w:val="auto"/>
        </w:rPr>
      </w:pPr>
    </w:p>
    <w:p w14:paraId="6E23FA6E" w14:textId="77777777" w:rsidR="007F1F19" w:rsidRPr="00DD1543" w:rsidRDefault="002318AA">
      <w:pPr>
        <w:ind w:left="720" w:firstLine="0"/>
        <w:rPr>
          <w:rFonts w:hAnsi="Times New Roman" w:cs="Times New Roman"/>
          <w:color w:val="auto"/>
        </w:rPr>
      </w:pPr>
      <w:r w:rsidRPr="00DD1543">
        <w:rPr>
          <w:rFonts w:hAnsi="Times New Roman" w:cs="Times New Roman"/>
          <w:color w:val="auto"/>
        </w:rPr>
        <w:t>I’d thought it strange, after the financial crisis, in which Goldman had played such an important role, that the only Goldman Sachs employee who had been charged with any sort of crime was the employee who had taken something from Goldman Sachs.</w:t>
      </w:r>
      <w:r w:rsidRPr="00DD1543">
        <w:rPr>
          <w:rFonts w:hAnsi="Times New Roman" w:cs="Times New Roman"/>
          <w:color w:val="auto"/>
          <w:vertAlign w:val="superscript"/>
        </w:rPr>
        <w:footnoteReference w:id="229"/>
      </w:r>
    </w:p>
    <w:p w14:paraId="754B4BEA" w14:textId="77777777" w:rsidR="007F1F19" w:rsidRPr="00DD1543" w:rsidRDefault="007F1F19" w:rsidP="00C24430">
      <w:pPr>
        <w:pStyle w:val="MediumGrid1-Accent21"/>
        <w:ind w:left="0"/>
        <w:jc w:val="both"/>
        <w:rPr>
          <w:color w:val="auto"/>
        </w:rPr>
      </w:pPr>
    </w:p>
    <w:p w14:paraId="64AC36E2" w14:textId="41227A13" w:rsidR="00E303D4" w:rsidRPr="00DE7E19" w:rsidRDefault="00D0770A" w:rsidP="00434690">
      <w:pPr>
        <w:ind w:firstLine="720"/>
        <w:rPr>
          <w:rFonts w:hAnsi="Times New Roman" w:cs="Times New Roman"/>
          <w:color w:val="auto"/>
        </w:rPr>
      </w:pPr>
      <w:r w:rsidRPr="00DD1543">
        <w:rPr>
          <w:color w:val="auto"/>
        </w:rPr>
        <w:t>The new cognitive property</w:t>
      </w:r>
      <w:r w:rsidR="009A1A78">
        <w:rPr>
          <w:color w:val="auto"/>
        </w:rPr>
        <w:t xml:space="preserve"> </w:t>
      </w:r>
      <w:r>
        <w:rPr>
          <w:color w:val="auto"/>
        </w:rPr>
        <w:t>benefits</w:t>
      </w:r>
      <w:r w:rsidRPr="00DD1543">
        <w:rPr>
          <w:color w:val="auto"/>
        </w:rPr>
        <w:t xml:space="preserve"> firms with superior resources.</w:t>
      </w:r>
      <w:r>
        <w:rPr>
          <w:color w:val="auto"/>
        </w:rPr>
        <w:t xml:space="preserve"> </w:t>
      </w:r>
      <w:r w:rsidR="00844DD5" w:rsidRPr="00DD1543">
        <w:rPr>
          <w:rFonts w:hAnsi="Times New Roman" w:cs="Times New Roman"/>
          <w:color w:val="auto"/>
        </w:rPr>
        <w:t>As Graves and Diboise note, “courts do not recognize that plaintiff's trade secret claims are too often created after the fact by attorneys to try to trap a former employee, and not so valuable that the plaintiff had previously recorded them as company intellectual property and guarded them as secret before the employee departed.”</w:t>
      </w:r>
      <w:r w:rsidR="00844DD5" w:rsidRPr="00DD1543">
        <w:rPr>
          <w:rFonts w:eastAsia="Times New Roman" w:hAnsi="Times New Roman" w:cs="Times New Roman"/>
          <w:color w:val="auto"/>
          <w:vertAlign w:val="superscript"/>
        </w:rPr>
        <w:footnoteReference w:id="230"/>
      </w:r>
      <w:r w:rsidR="00DE7E19">
        <w:rPr>
          <w:rFonts w:hAnsi="Times New Roman" w:cs="Times New Roman"/>
          <w:color w:val="auto"/>
        </w:rPr>
        <w:t xml:space="preserve"> </w:t>
      </w:r>
      <w:r>
        <w:rPr>
          <w:color w:val="auto"/>
        </w:rPr>
        <w:t xml:space="preserve">In general, newer and smaller </w:t>
      </w:r>
      <w:r w:rsidRPr="00DD1543">
        <w:rPr>
          <w:color w:val="auto"/>
        </w:rPr>
        <w:t xml:space="preserve">firms are disadvantaged </w:t>
      </w:r>
      <w:r>
        <w:rPr>
          <w:color w:val="auto"/>
        </w:rPr>
        <w:t xml:space="preserve">in </w:t>
      </w:r>
      <w:r w:rsidR="00BA5127">
        <w:rPr>
          <w:color w:val="auto"/>
        </w:rPr>
        <w:t>IP</w:t>
      </w:r>
      <w:r w:rsidR="00631F05">
        <w:rPr>
          <w:color w:val="auto"/>
        </w:rPr>
        <w:t xml:space="preserve"> litigation.</w:t>
      </w:r>
      <w:r w:rsidRPr="00DD1543">
        <w:rPr>
          <w:color w:val="auto"/>
          <w:vertAlign w:val="superscript"/>
        </w:rPr>
        <w:footnoteReference w:id="231"/>
      </w:r>
      <w:r w:rsidR="00CB67D9">
        <w:rPr>
          <w:color w:val="auto"/>
        </w:rPr>
        <w:t xml:space="preserve"> </w:t>
      </w:r>
      <w:r w:rsidR="00BA5127">
        <w:rPr>
          <w:color w:val="auto"/>
        </w:rPr>
        <w:t>U</w:t>
      </w:r>
      <w:r w:rsidR="00E303D4">
        <w:rPr>
          <w:color w:val="auto"/>
          <w:shd w:val="clear" w:color="auto" w:fill="FFFFFF"/>
        </w:rPr>
        <w:t>ncertain</w:t>
      </w:r>
      <w:r w:rsidR="00BA5127">
        <w:rPr>
          <w:color w:val="auto"/>
          <w:shd w:val="clear" w:color="auto" w:fill="FFFFFF"/>
        </w:rPr>
        <w:t xml:space="preserve"> legal boundaries lead to over-</w:t>
      </w:r>
      <w:r w:rsidR="00E303D4">
        <w:rPr>
          <w:color w:val="auto"/>
          <w:shd w:val="clear" w:color="auto" w:fill="FFFFFF"/>
        </w:rPr>
        <w:t xml:space="preserve">enclosures of information by </w:t>
      </w:r>
      <w:r w:rsidR="00BA5127">
        <w:rPr>
          <w:color w:val="auto"/>
          <w:shd w:val="clear" w:color="auto" w:fill="FFFFFF"/>
        </w:rPr>
        <w:t>those with fewer resources,</w:t>
      </w:r>
      <w:r w:rsidR="00E303D4">
        <w:rPr>
          <w:color w:val="auto"/>
          <w:shd w:val="clear" w:color="auto" w:fill="FFFFFF"/>
        </w:rPr>
        <w:t xml:space="preserve"> </w:t>
      </w:r>
      <w:r w:rsidR="00BA5127">
        <w:rPr>
          <w:color w:val="auto"/>
          <w:shd w:val="clear" w:color="auto" w:fill="FFFFFF"/>
        </w:rPr>
        <w:t xml:space="preserve">who thereby </w:t>
      </w:r>
      <w:r w:rsidR="00E303D4">
        <w:rPr>
          <w:color w:val="auto"/>
          <w:shd w:val="clear" w:color="auto" w:fill="FFFFFF"/>
        </w:rPr>
        <w:t>seek to avoid risk under conditions of unpredictability.</w:t>
      </w:r>
      <w:r w:rsidR="00E303D4">
        <w:rPr>
          <w:rStyle w:val="FootnoteReference"/>
          <w:color w:val="auto"/>
          <w:shd w:val="clear" w:color="auto" w:fill="FFFFFF"/>
        </w:rPr>
        <w:footnoteReference w:id="232"/>
      </w:r>
      <w:r w:rsidR="00E303D4">
        <w:rPr>
          <w:color w:val="auto"/>
          <w:shd w:val="clear" w:color="auto" w:fill="FFFFFF"/>
        </w:rPr>
        <w:t xml:space="preserve"> </w:t>
      </w:r>
      <w:r w:rsidR="00E303D4">
        <w:rPr>
          <w:color w:val="auto"/>
        </w:rPr>
        <w:t>In human capital law</w:t>
      </w:r>
      <w:r w:rsidR="00604E93">
        <w:rPr>
          <w:color w:val="auto"/>
        </w:rPr>
        <w:t>,</w:t>
      </w:r>
      <w:r w:rsidR="00E303D4">
        <w:rPr>
          <w:color w:val="auto"/>
        </w:rPr>
        <w:t xml:space="preserve"> these issues are exacerbated by the profound inherent</w:t>
      </w:r>
      <w:r w:rsidR="00CB67D9">
        <w:rPr>
          <w:color w:val="auto"/>
        </w:rPr>
        <w:t xml:space="preserve"> asymmetries in </w:t>
      </w:r>
      <w:r w:rsidR="00BA5127">
        <w:rPr>
          <w:color w:val="auto"/>
        </w:rPr>
        <w:t>reserves</w:t>
      </w:r>
      <w:r w:rsidR="00E303D4">
        <w:rPr>
          <w:color w:val="auto"/>
        </w:rPr>
        <w:t xml:space="preserve"> and information</w:t>
      </w:r>
      <w:r w:rsidR="00E303D4" w:rsidRPr="00DD1543">
        <w:rPr>
          <w:color w:val="auto"/>
        </w:rPr>
        <w:t>.</w:t>
      </w:r>
      <w:r w:rsidR="00E303D4" w:rsidRPr="00DD1543">
        <w:rPr>
          <w:color w:val="auto"/>
          <w:vertAlign w:val="superscript"/>
        </w:rPr>
        <w:footnoteReference w:id="233"/>
      </w:r>
      <w:r w:rsidR="00E303D4">
        <w:rPr>
          <w:color w:val="auto"/>
        </w:rPr>
        <w:t xml:space="preserve"> </w:t>
      </w:r>
      <w:r w:rsidR="00D15636">
        <w:rPr>
          <w:color w:val="auto"/>
        </w:rPr>
        <w:t>As we have seen, human capital law is comprised from a n</w:t>
      </w:r>
      <w:r w:rsidR="00D15636" w:rsidRPr="00DD1543">
        <w:rPr>
          <w:color w:val="auto"/>
        </w:rPr>
        <w:t xml:space="preserve">ebulous set of rules </w:t>
      </w:r>
      <w:r w:rsidR="00D15636">
        <w:rPr>
          <w:color w:val="auto"/>
        </w:rPr>
        <w:t xml:space="preserve">which </w:t>
      </w:r>
      <w:r w:rsidR="00D15636" w:rsidRPr="00DD1543">
        <w:rPr>
          <w:color w:val="auto"/>
        </w:rPr>
        <w:t>create uncertainty and chill the prospects of competition.</w:t>
      </w:r>
      <w:r w:rsidR="00D15636">
        <w:rPr>
          <w:color w:val="auto"/>
          <w:u w:color="444444"/>
        </w:rPr>
        <w:t xml:space="preserve"> </w:t>
      </w:r>
      <w:r w:rsidR="00D15636">
        <w:rPr>
          <w:color w:val="auto"/>
        </w:rPr>
        <w:t>The uncertainty and ad hoc balancing which characterizes human capital law incentivizes firms</w:t>
      </w:r>
      <w:r w:rsidR="00D15636" w:rsidRPr="00DD1543">
        <w:rPr>
          <w:color w:val="auto"/>
        </w:rPr>
        <w:t xml:space="preserve"> to</w:t>
      </w:r>
      <w:r w:rsidR="00D15636">
        <w:rPr>
          <w:color w:val="auto"/>
        </w:rPr>
        <w:t xml:space="preserve"> deliberately</w:t>
      </w:r>
      <w:r w:rsidR="00D15636" w:rsidRPr="00DD1543">
        <w:rPr>
          <w:color w:val="auto"/>
        </w:rPr>
        <w:t xml:space="preserve"> draft </w:t>
      </w:r>
      <w:r w:rsidR="00D15636">
        <w:rPr>
          <w:color w:val="auto"/>
        </w:rPr>
        <w:t>human capital</w:t>
      </w:r>
      <w:r w:rsidR="00D15636" w:rsidRPr="00DD1543">
        <w:rPr>
          <w:color w:val="auto"/>
        </w:rPr>
        <w:t xml:space="preserve"> clause</w:t>
      </w:r>
      <w:r w:rsidR="00D15636">
        <w:rPr>
          <w:color w:val="auto"/>
        </w:rPr>
        <w:t>s</w:t>
      </w:r>
      <w:r w:rsidR="00D15636" w:rsidRPr="00DD1543">
        <w:rPr>
          <w:color w:val="auto"/>
        </w:rPr>
        <w:t xml:space="preserve"> </w:t>
      </w:r>
      <w:r w:rsidR="00D15636">
        <w:rPr>
          <w:color w:val="auto"/>
        </w:rPr>
        <w:t xml:space="preserve">broadly and vaguely. </w:t>
      </w:r>
      <w:r w:rsidR="00CB67D9">
        <w:rPr>
          <w:color w:val="auto"/>
        </w:rPr>
        <w:t>F</w:t>
      </w:r>
      <w:r w:rsidR="00757D4D">
        <w:rPr>
          <w:color w:val="auto"/>
        </w:rPr>
        <w:t xml:space="preserve">ar more than in the context of </w:t>
      </w:r>
      <w:r w:rsidR="00CB67D9">
        <w:rPr>
          <w:color w:val="auto"/>
        </w:rPr>
        <w:t>IP</w:t>
      </w:r>
      <w:r w:rsidR="00757D4D">
        <w:rPr>
          <w:color w:val="auto"/>
        </w:rPr>
        <w:t xml:space="preserve"> agreements between two companies,</w:t>
      </w:r>
      <w:r w:rsidRPr="00145026">
        <w:rPr>
          <w:color w:val="auto"/>
        </w:rPr>
        <w:t xml:space="preserve"> in the field of human capital law</w:t>
      </w:r>
      <w:r w:rsidR="00757D4D">
        <w:rPr>
          <w:color w:val="auto"/>
        </w:rPr>
        <w:t>,</w:t>
      </w:r>
      <w:r w:rsidRPr="00145026">
        <w:rPr>
          <w:color w:val="auto"/>
        </w:rPr>
        <w:t xml:space="preserve"> </w:t>
      </w:r>
      <w:r w:rsidR="00CB67D9" w:rsidRPr="009342B8">
        <w:rPr>
          <w:rFonts w:hAnsi="Times New Roman" w:cs="Times New Roman"/>
          <w:color w:val="auto"/>
        </w:rPr>
        <w:t xml:space="preserve">employment </w:t>
      </w:r>
      <w:r w:rsidRPr="009342B8">
        <w:rPr>
          <w:rFonts w:hAnsi="Times New Roman" w:cs="Times New Roman"/>
          <w:color w:val="auto"/>
        </w:rPr>
        <w:t>contracts</w:t>
      </w:r>
      <w:r w:rsidR="00757D4D" w:rsidRPr="009342B8">
        <w:rPr>
          <w:rFonts w:hAnsi="Times New Roman" w:cs="Times New Roman"/>
          <w:color w:val="auto"/>
        </w:rPr>
        <w:t xml:space="preserve"> </w:t>
      </w:r>
      <w:r w:rsidRPr="009342B8">
        <w:rPr>
          <w:rFonts w:hAnsi="Times New Roman" w:cs="Times New Roman"/>
          <w:color w:val="auto"/>
        </w:rPr>
        <w:t>are typically boilerplate and negotiations are rare.</w:t>
      </w:r>
      <w:r w:rsidR="006E67AF" w:rsidRPr="009342B8">
        <w:rPr>
          <w:rStyle w:val="FootnoteReference"/>
          <w:rFonts w:hAnsi="Times New Roman" w:cs="Times New Roman"/>
          <w:color w:val="auto"/>
        </w:rPr>
        <w:footnoteReference w:id="234"/>
      </w:r>
      <w:r w:rsidR="00764019" w:rsidRPr="009342B8">
        <w:rPr>
          <w:rFonts w:hAnsi="Times New Roman" w:cs="Times New Roman"/>
          <w:color w:val="auto"/>
        </w:rPr>
        <w:t xml:space="preserve"> </w:t>
      </w:r>
      <w:r w:rsidR="006B67D1">
        <w:rPr>
          <w:rFonts w:hAnsi="Times New Roman" w:cs="Times New Roman"/>
          <w:color w:val="auto"/>
          <w:u w:color="444444"/>
        </w:rPr>
        <w:t xml:space="preserve">In a recent Delaware case, a court </w:t>
      </w:r>
      <w:r w:rsidR="00604E93">
        <w:rPr>
          <w:rFonts w:hAnsi="Times New Roman" w:cs="Times New Roman"/>
          <w:color w:val="auto"/>
          <w:u w:color="444444"/>
        </w:rPr>
        <w:t>enforced</w:t>
      </w:r>
      <w:r w:rsidR="00604E93" w:rsidRPr="009342B8">
        <w:rPr>
          <w:rFonts w:hAnsi="Times New Roman" w:cs="Times New Roman"/>
          <w:color w:val="auto"/>
          <w:u w:color="444444"/>
        </w:rPr>
        <w:t xml:space="preserve"> </w:t>
      </w:r>
      <w:r w:rsidR="00604E93">
        <w:rPr>
          <w:rFonts w:hAnsi="Times New Roman" w:cs="Times New Roman"/>
          <w:color w:val="auto"/>
          <w:u w:color="444444"/>
        </w:rPr>
        <w:t>a</w:t>
      </w:r>
      <w:r w:rsidR="006B67D1">
        <w:rPr>
          <w:rFonts w:hAnsi="Times New Roman" w:cs="Times New Roman"/>
          <w:color w:val="auto"/>
          <w:u w:color="444444"/>
        </w:rPr>
        <w:t xml:space="preserve"> clickwrap</w:t>
      </w:r>
      <w:r w:rsidRPr="009342B8">
        <w:rPr>
          <w:rFonts w:hAnsi="Times New Roman" w:cs="Times New Roman"/>
          <w:color w:val="auto"/>
          <w:u w:color="444444"/>
        </w:rPr>
        <w:t xml:space="preserve"> boilerplate non-compete </w:t>
      </w:r>
      <w:r w:rsidR="00604E93" w:rsidRPr="009342B8">
        <w:rPr>
          <w:rFonts w:hAnsi="Times New Roman" w:cs="Times New Roman"/>
          <w:color w:val="auto"/>
          <w:u w:color="444444"/>
        </w:rPr>
        <w:t>agreement that</w:t>
      </w:r>
      <w:r w:rsidRPr="009342B8">
        <w:rPr>
          <w:rFonts w:hAnsi="Times New Roman" w:cs="Times New Roman"/>
          <w:color w:val="auto"/>
          <w:u w:color="444444"/>
        </w:rPr>
        <w:t xml:space="preserve"> the employee received only as an electronic copy, </w:t>
      </w:r>
      <w:r w:rsidRPr="00145026">
        <w:rPr>
          <w:color w:val="auto"/>
          <w:u w:color="444444"/>
        </w:rPr>
        <w:t>buried as part of an equity compensation contract.</w:t>
      </w:r>
      <w:r w:rsidRPr="00145026">
        <w:rPr>
          <w:rStyle w:val="FootnoteReference"/>
          <w:color w:val="auto"/>
          <w:u w:color="444444"/>
        </w:rPr>
        <w:footnoteReference w:id="235"/>
      </w:r>
      <w:r w:rsidRPr="00145026">
        <w:rPr>
          <w:color w:val="auto"/>
          <w:u w:color="444444"/>
        </w:rPr>
        <w:t xml:space="preserve"> </w:t>
      </w:r>
      <w:r w:rsidRPr="009342B8">
        <w:rPr>
          <w:rFonts w:hAnsi="Times New Roman" w:cs="Times New Roman"/>
          <w:color w:val="auto"/>
          <w:u w:color="444444"/>
        </w:rPr>
        <w:t xml:space="preserve">The employee </w:t>
      </w:r>
      <w:r w:rsidR="0034552E" w:rsidRPr="009342B8">
        <w:rPr>
          <w:rFonts w:hAnsi="Times New Roman" w:cs="Times New Roman"/>
          <w:color w:val="auto"/>
          <w:u w:color="444444"/>
        </w:rPr>
        <w:t xml:space="preserve">signed the contract by clicking </w:t>
      </w:r>
      <w:r w:rsidR="006B67D1">
        <w:rPr>
          <w:rFonts w:hAnsi="Times New Roman" w:cs="Times New Roman"/>
          <w:color w:val="auto"/>
          <w:u w:color="444444"/>
        </w:rPr>
        <w:t>“accept” on her computer screen</w:t>
      </w:r>
      <w:r w:rsidR="00D97919" w:rsidRPr="009342B8">
        <w:rPr>
          <w:rFonts w:hAnsi="Times New Roman" w:cs="Times New Roman"/>
          <w:color w:val="auto"/>
          <w:u w:color="444444"/>
        </w:rPr>
        <w:t xml:space="preserve">. The court explained that </w:t>
      </w:r>
      <w:r w:rsidR="00E42FA3">
        <w:rPr>
          <w:rFonts w:hAnsi="Times New Roman" w:cs="Times New Roman"/>
          <w:color w:val="auto"/>
          <w:u w:color="444444"/>
        </w:rPr>
        <w:t xml:space="preserve">although </w:t>
      </w:r>
      <w:r w:rsidR="00D97919" w:rsidRPr="009342B8">
        <w:rPr>
          <w:rFonts w:hAnsi="Times New Roman" w:cs="Times New Roman"/>
          <w:color w:val="auto"/>
          <w:u w:color="444444"/>
        </w:rPr>
        <w:t xml:space="preserve">the way the employer sought </w:t>
      </w:r>
      <w:r w:rsidRPr="009342B8">
        <w:rPr>
          <w:rFonts w:hAnsi="Times New Roman" w:cs="Times New Roman"/>
          <w:color w:val="auto"/>
          <w:u w:color="444444"/>
        </w:rPr>
        <w:t>agreement to</w:t>
      </w:r>
      <w:r w:rsidR="00D97919" w:rsidRPr="009342B8">
        <w:rPr>
          <w:rFonts w:hAnsi="Times New Roman" w:cs="Times New Roman"/>
          <w:color w:val="auto"/>
          <w:u w:color="444444"/>
        </w:rPr>
        <w:t xml:space="preserve"> the post-employment restrictive agreement</w:t>
      </w:r>
      <w:r w:rsidR="00E42FA3">
        <w:rPr>
          <w:rFonts w:hAnsi="Times New Roman" w:cs="Times New Roman"/>
          <w:color w:val="auto"/>
          <w:u w:color="444444"/>
        </w:rPr>
        <w:t xml:space="preserve"> was</w:t>
      </w:r>
      <w:r w:rsidRPr="009342B8">
        <w:rPr>
          <w:rFonts w:hAnsi="Times New Roman" w:cs="Times New Roman"/>
          <w:color w:val="auto"/>
          <w:u w:color="444444"/>
        </w:rPr>
        <w:t xml:space="preserve"> </w:t>
      </w:r>
      <w:r w:rsidR="006B67D1">
        <w:rPr>
          <w:rFonts w:hAnsi="Times New Roman" w:cs="Times New Roman"/>
          <w:color w:val="auto"/>
          <w:u w:color="444444"/>
        </w:rPr>
        <w:t>“certainly not the model of transparency and openness with its employees, (the post-employment restric</w:t>
      </w:r>
      <w:r w:rsidR="00CE687F">
        <w:rPr>
          <w:rFonts w:hAnsi="Times New Roman" w:cs="Times New Roman"/>
          <w:color w:val="auto"/>
          <w:u w:color="444444"/>
        </w:rPr>
        <w:t>tive contract</w:t>
      </w:r>
      <w:r w:rsidR="006B67D1">
        <w:rPr>
          <w:rFonts w:hAnsi="Times New Roman" w:cs="Times New Roman"/>
          <w:color w:val="auto"/>
          <w:u w:color="444444"/>
        </w:rPr>
        <w:t xml:space="preserve">) </w:t>
      </w:r>
      <w:r w:rsidR="00CE687F">
        <w:rPr>
          <w:rFonts w:hAnsi="Times New Roman" w:cs="Times New Roman"/>
          <w:color w:val="auto"/>
          <w:u w:color="444444"/>
        </w:rPr>
        <w:t>was</w:t>
      </w:r>
      <w:r w:rsidR="006B67D1">
        <w:rPr>
          <w:rFonts w:hAnsi="Times New Roman" w:cs="Times New Roman"/>
          <w:color w:val="auto"/>
          <w:u w:color="444444"/>
        </w:rPr>
        <w:t xml:space="preserve"> not </w:t>
      </w:r>
      <w:r w:rsidRPr="009342B8">
        <w:rPr>
          <w:rFonts w:hAnsi="Times New Roman" w:cs="Times New Roman"/>
          <w:color w:val="auto"/>
          <w:u w:color="444444"/>
        </w:rPr>
        <w:t>an improper form of contract formation.”</w:t>
      </w:r>
      <w:r w:rsidRPr="009342B8">
        <w:rPr>
          <w:rStyle w:val="FootnoteReference"/>
          <w:rFonts w:hAnsi="Times New Roman" w:cs="Times New Roman"/>
          <w:color w:val="auto"/>
          <w:u w:color="444444"/>
        </w:rPr>
        <w:footnoteReference w:id="236"/>
      </w:r>
      <w:r w:rsidR="00E303D4" w:rsidRPr="009342B8">
        <w:rPr>
          <w:rFonts w:hAnsi="Times New Roman" w:cs="Times New Roman"/>
          <w:color w:val="auto"/>
        </w:rPr>
        <w:t xml:space="preserve"> </w:t>
      </w:r>
    </w:p>
    <w:p w14:paraId="3DC26514" w14:textId="77777777" w:rsidR="0001540A" w:rsidRDefault="0001540A" w:rsidP="00E303D4">
      <w:pPr>
        <w:pStyle w:val="MediumGrid1-Accent21"/>
        <w:ind w:left="0" w:firstLine="720"/>
        <w:jc w:val="both"/>
        <w:rPr>
          <w:color w:val="auto"/>
        </w:rPr>
      </w:pPr>
    </w:p>
    <w:p w14:paraId="65AC7619" w14:textId="26D6ACC6" w:rsidR="00E303D4" w:rsidRDefault="00E303D4" w:rsidP="009342B8">
      <w:pPr>
        <w:pStyle w:val="MediumGrid1-Accent21"/>
        <w:ind w:left="0" w:firstLine="720"/>
        <w:jc w:val="both"/>
        <w:rPr>
          <w:color w:val="auto"/>
        </w:rPr>
      </w:pPr>
      <w:r>
        <w:rPr>
          <w:color w:val="auto"/>
        </w:rPr>
        <w:t>New research on</w:t>
      </w:r>
      <w:r w:rsidRPr="00DD1543">
        <w:rPr>
          <w:color w:val="auto"/>
        </w:rPr>
        <w:t xml:space="preserve"> predation and strateg</w:t>
      </w:r>
      <w:r>
        <w:rPr>
          <w:color w:val="auto"/>
        </w:rPr>
        <w:t xml:space="preserve">y </w:t>
      </w:r>
      <w:r w:rsidR="00D15636">
        <w:rPr>
          <w:color w:val="auto"/>
        </w:rPr>
        <w:t>demonstrates</w:t>
      </w:r>
      <w:r w:rsidRPr="00DD1543">
        <w:rPr>
          <w:color w:val="auto"/>
        </w:rPr>
        <w:t xml:space="preserve"> how corporate reputation for “toughness” in patent enforceme</w:t>
      </w:r>
      <w:r w:rsidR="00D15636">
        <w:rPr>
          <w:color w:val="auto"/>
        </w:rPr>
        <w:t>nt suppresses employee mobility. A</w:t>
      </w:r>
      <w:r w:rsidR="0001540A" w:rsidRPr="00DD1543">
        <w:rPr>
          <w:color w:val="auto"/>
        </w:rPr>
        <w:t xml:space="preserve">s firms </w:t>
      </w:r>
      <w:r w:rsidR="00D15636">
        <w:rPr>
          <w:color w:val="auto"/>
        </w:rPr>
        <w:t>signal that they are willing to be litigious against former employees</w:t>
      </w:r>
      <w:r w:rsidR="0001540A" w:rsidRPr="00DD1543">
        <w:rPr>
          <w:color w:val="auto"/>
        </w:rPr>
        <w:t xml:space="preserve">, </w:t>
      </w:r>
      <w:r w:rsidR="00D15636">
        <w:rPr>
          <w:color w:val="auto"/>
        </w:rPr>
        <w:t>“</w:t>
      </w:r>
      <w:r w:rsidR="0001540A" w:rsidRPr="00DD1543">
        <w:rPr>
          <w:color w:val="auto"/>
        </w:rPr>
        <w:t>employee-inventors become less likely to join or form rival companies.”</w:t>
      </w:r>
      <w:r w:rsidR="0001540A" w:rsidRPr="0001540A">
        <w:rPr>
          <w:color w:val="auto"/>
          <w:vertAlign w:val="superscript"/>
        </w:rPr>
        <w:t xml:space="preserve"> </w:t>
      </w:r>
      <w:r w:rsidR="0001540A" w:rsidRPr="00DD1543">
        <w:rPr>
          <w:color w:val="auto"/>
          <w:vertAlign w:val="superscript"/>
        </w:rPr>
        <w:footnoteReference w:id="237"/>
      </w:r>
      <w:r w:rsidR="0001540A">
        <w:rPr>
          <w:color w:val="auto"/>
          <w:vertAlign w:val="superscript"/>
        </w:rPr>
        <w:t xml:space="preserve"> </w:t>
      </w:r>
      <w:r w:rsidR="0001540A">
        <w:rPr>
          <w:color w:val="auto"/>
        </w:rPr>
        <w:t xml:space="preserve">The research demonstrates how </w:t>
      </w:r>
      <w:r w:rsidR="0001540A" w:rsidRPr="00DD1543">
        <w:rPr>
          <w:color w:val="auto"/>
        </w:rPr>
        <w:t xml:space="preserve">litigation against former employees reduces the expected value </w:t>
      </w:r>
      <w:r w:rsidR="005B397B" w:rsidRPr="005B397B">
        <w:rPr>
          <w:i/>
          <w:iCs/>
          <w:color w:val="auto"/>
        </w:rPr>
        <w:t>all employees</w:t>
      </w:r>
      <w:r w:rsidR="00F607C4">
        <w:rPr>
          <w:i/>
          <w:iCs/>
          <w:color w:val="auto"/>
        </w:rPr>
        <w:t xml:space="preserve"> </w:t>
      </w:r>
      <w:r w:rsidR="00F607C4">
        <w:rPr>
          <w:iCs/>
          <w:color w:val="auto"/>
        </w:rPr>
        <w:t>have in pursuing external professional options</w:t>
      </w:r>
      <w:r w:rsidR="005B397B">
        <w:rPr>
          <w:color w:val="auto"/>
        </w:rPr>
        <w:t xml:space="preserve">, </w:t>
      </w:r>
      <w:r w:rsidR="0001540A" w:rsidRPr="00DD1543">
        <w:rPr>
          <w:color w:val="auto"/>
        </w:rPr>
        <w:t>not</w:t>
      </w:r>
      <w:r w:rsidR="0001540A">
        <w:rPr>
          <w:color w:val="auto"/>
        </w:rPr>
        <w:t xml:space="preserve"> merely</w:t>
      </w:r>
      <w:r w:rsidR="005B397B">
        <w:rPr>
          <w:color w:val="auto"/>
        </w:rPr>
        <w:t xml:space="preserve"> the employee</w:t>
      </w:r>
      <w:r w:rsidR="005B0086">
        <w:rPr>
          <w:color w:val="auto"/>
        </w:rPr>
        <w:t>s</w:t>
      </w:r>
      <w:r w:rsidR="005B397B">
        <w:rPr>
          <w:color w:val="auto"/>
        </w:rPr>
        <w:t xml:space="preserve"> who actually left and were sued</w:t>
      </w:r>
      <w:r w:rsidR="00F607C4">
        <w:rPr>
          <w:color w:val="auto"/>
        </w:rPr>
        <w:t>.</w:t>
      </w:r>
      <w:r w:rsidR="0001540A">
        <w:rPr>
          <w:color w:val="auto"/>
        </w:rPr>
        <w:t>.</w:t>
      </w:r>
      <w:r w:rsidR="0001540A" w:rsidRPr="00DD1543">
        <w:rPr>
          <w:color w:val="auto"/>
          <w:vertAlign w:val="superscript"/>
        </w:rPr>
        <w:footnoteReference w:id="238"/>
      </w:r>
      <w:r w:rsidR="0001540A" w:rsidRPr="00DD1543">
        <w:rPr>
          <w:color w:val="auto"/>
        </w:rPr>
        <w:t xml:space="preserve"> </w:t>
      </w:r>
      <w:r w:rsidR="00DB03B1">
        <w:rPr>
          <w:color w:val="auto"/>
        </w:rPr>
        <w:t>In</w:t>
      </w:r>
      <w:r w:rsidR="00DB03B1" w:rsidRPr="00DD1543">
        <w:rPr>
          <w:color w:val="auto"/>
        </w:rPr>
        <w:t xml:space="preserve"> the context of litigation against a former employee turned competitor, “even if the costs of being litigious in a particular dispute outweigh the benefits, the deterrence of future knowledge spillovers can justify the investment.” In other words, </w:t>
      </w:r>
      <w:r w:rsidR="00DB03B1">
        <w:rPr>
          <w:color w:val="auto"/>
        </w:rPr>
        <w:t xml:space="preserve">human capital litigation </w:t>
      </w:r>
      <w:r w:rsidR="00DB03B1" w:rsidRPr="00DD1543">
        <w:rPr>
          <w:color w:val="auto"/>
        </w:rPr>
        <w:t>risks being designed precisely to deter future mobility by other employees.</w:t>
      </w:r>
      <w:r w:rsidR="00DB03B1">
        <w:rPr>
          <w:color w:val="auto"/>
        </w:rPr>
        <w:t xml:space="preserve"> T</w:t>
      </w:r>
      <w:r w:rsidR="0001540A">
        <w:rPr>
          <w:color w:val="auto"/>
        </w:rPr>
        <w:t>he findings suggest that a</w:t>
      </w:r>
      <w:r w:rsidRPr="00DD1543">
        <w:rPr>
          <w:color w:val="auto"/>
        </w:rPr>
        <w:t xml:space="preserve"> firm’s patent litigiousness significantly lowers the dissemination of technical knowledge otherwise pr</w:t>
      </w:r>
      <w:r w:rsidR="0001540A">
        <w:rPr>
          <w:color w:val="auto"/>
        </w:rPr>
        <w:t xml:space="preserve">edicted </w:t>
      </w:r>
      <w:r w:rsidR="00923B91">
        <w:rPr>
          <w:color w:val="auto"/>
        </w:rPr>
        <w:t xml:space="preserve">to flow </w:t>
      </w:r>
      <w:r w:rsidR="0001540A">
        <w:rPr>
          <w:color w:val="auto"/>
        </w:rPr>
        <w:t>from employee mobility, leading the researchers to warn:</w:t>
      </w:r>
    </w:p>
    <w:p w14:paraId="243B8203" w14:textId="77777777" w:rsidR="0001540A" w:rsidRDefault="0001540A" w:rsidP="0001540A">
      <w:pPr>
        <w:pStyle w:val="MediumGrid1-Accent21"/>
        <w:ind w:right="720"/>
        <w:jc w:val="both"/>
        <w:rPr>
          <w:color w:val="auto"/>
        </w:rPr>
      </w:pPr>
    </w:p>
    <w:p w14:paraId="19F77A45" w14:textId="77777777" w:rsidR="0001540A" w:rsidRDefault="0001540A" w:rsidP="0001540A">
      <w:pPr>
        <w:pStyle w:val="MediumGrid1-Accent21"/>
        <w:ind w:right="720"/>
        <w:jc w:val="both"/>
        <w:rPr>
          <w:color w:val="auto"/>
        </w:rPr>
      </w:pPr>
      <w:r>
        <w:rPr>
          <w:color w:val="auto"/>
        </w:rPr>
        <w:t>T</w:t>
      </w:r>
      <w:r w:rsidRPr="00DD1543">
        <w:rPr>
          <w:color w:val="auto"/>
        </w:rPr>
        <w:t>he vitality of innovative regions</w:t>
      </w:r>
      <w:r>
        <w:rPr>
          <w:color w:val="auto"/>
        </w:rPr>
        <w:t>,</w:t>
      </w:r>
      <w:r w:rsidRPr="00DD1543">
        <w:rPr>
          <w:color w:val="auto"/>
        </w:rPr>
        <w:t xml:space="preserve"> such as Silicon Valley</w:t>
      </w:r>
      <w:r>
        <w:rPr>
          <w:color w:val="auto"/>
        </w:rPr>
        <w:t>,</w:t>
      </w:r>
      <w:r w:rsidRPr="00DD1543">
        <w:rPr>
          <w:color w:val="auto"/>
        </w:rPr>
        <w:t xml:space="preserve"> is widely attribute</w:t>
      </w:r>
      <w:r>
        <w:rPr>
          <w:color w:val="auto"/>
        </w:rPr>
        <w:t>d</w:t>
      </w:r>
      <w:r w:rsidRPr="00DD1543">
        <w:rPr>
          <w:color w:val="auto"/>
        </w:rPr>
        <w:t xml:space="preserve"> to active job hopping by skilled workers and the corresponding diffusion of technological know-how and discoveries across firm boundaries. If reputations for IP toughness curb the inter-firm dissemination of technological knowledge, particularly to start-ups, regional dynamics could be threatened.</w:t>
      </w:r>
      <w:r w:rsidRPr="00DD1543">
        <w:rPr>
          <w:color w:val="auto"/>
          <w:vertAlign w:val="superscript"/>
        </w:rPr>
        <w:footnoteReference w:id="239"/>
      </w:r>
    </w:p>
    <w:p w14:paraId="461A5FFD" w14:textId="77777777" w:rsidR="00631F05" w:rsidRDefault="00631F05" w:rsidP="00E303D4">
      <w:pPr>
        <w:pStyle w:val="MediumGrid1-Accent21"/>
        <w:ind w:left="0" w:firstLine="720"/>
        <w:jc w:val="both"/>
        <w:rPr>
          <w:color w:val="auto"/>
        </w:rPr>
      </w:pPr>
    </w:p>
    <w:p w14:paraId="7CE14C37" w14:textId="77777777" w:rsidR="00D0770A" w:rsidRPr="00DD1543" w:rsidRDefault="0001540A" w:rsidP="00DB03B1">
      <w:pPr>
        <w:pStyle w:val="MediumGrid1-Accent21"/>
        <w:ind w:left="0" w:firstLine="720"/>
        <w:jc w:val="both"/>
        <w:rPr>
          <w:color w:val="auto"/>
        </w:rPr>
      </w:pPr>
      <w:r>
        <w:rPr>
          <w:color w:val="auto"/>
        </w:rPr>
        <w:t>The new cognitive property creates a myriad of</w:t>
      </w:r>
      <w:r w:rsidR="00D0770A" w:rsidRPr="00DD1543">
        <w:rPr>
          <w:color w:val="auto"/>
        </w:rPr>
        <w:t xml:space="preserve"> penalties on communication</w:t>
      </w:r>
      <w:r w:rsidR="00D0770A">
        <w:rPr>
          <w:color w:val="auto"/>
        </w:rPr>
        <w:t xml:space="preserve"> </w:t>
      </w:r>
      <w:r w:rsidR="00764019">
        <w:rPr>
          <w:color w:val="auto"/>
        </w:rPr>
        <w:t xml:space="preserve">that </w:t>
      </w:r>
      <w:r w:rsidR="00D0770A">
        <w:rPr>
          <w:color w:val="auto"/>
        </w:rPr>
        <w:t xml:space="preserve">lead to a </w:t>
      </w:r>
      <w:r w:rsidR="00D0770A" w:rsidRPr="00DD1543">
        <w:rPr>
          <w:color w:val="auto"/>
        </w:rPr>
        <w:t>slower diffusion of knowledge, with a s</w:t>
      </w:r>
      <w:r w:rsidR="00844DD5">
        <w:rPr>
          <w:color w:val="auto"/>
        </w:rPr>
        <w:t xml:space="preserve">pecial harm to entrepreneurship and the formation of </w:t>
      </w:r>
      <w:r w:rsidR="00844DD5" w:rsidRPr="00DD1543">
        <w:rPr>
          <w:color w:val="auto"/>
        </w:rPr>
        <w:t>start-ups</w:t>
      </w:r>
      <w:r w:rsidR="00844DD5">
        <w:rPr>
          <w:color w:val="auto"/>
        </w:rPr>
        <w:t xml:space="preserve">, which are vital for </w:t>
      </w:r>
      <w:r w:rsidR="00844DD5" w:rsidRPr="00DD1543">
        <w:rPr>
          <w:color w:val="auto"/>
        </w:rPr>
        <w:t xml:space="preserve">the healthy growth </w:t>
      </w:r>
      <w:r w:rsidR="00844DD5">
        <w:rPr>
          <w:color w:val="auto"/>
        </w:rPr>
        <w:t>of</w:t>
      </w:r>
      <w:r w:rsidR="00844DD5" w:rsidRPr="00DD1543">
        <w:rPr>
          <w:color w:val="auto"/>
        </w:rPr>
        <w:t xml:space="preserve"> markets.</w:t>
      </w:r>
      <w:r w:rsidR="00844DD5">
        <w:rPr>
          <w:rStyle w:val="FootnoteReference"/>
          <w:color w:val="auto"/>
        </w:rPr>
        <w:footnoteReference w:id="240"/>
      </w:r>
      <w:r w:rsidR="00844DD5">
        <w:rPr>
          <w:color w:val="auto"/>
        </w:rPr>
        <w:t xml:space="preserve"> </w:t>
      </w:r>
      <w:r w:rsidR="00D0770A">
        <w:rPr>
          <w:color w:val="auto"/>
        </w:rPr>
        <w:t xml:space="preserve">For large established firms, </w:t>
      </w:r>
      <w:r w:rsidR="00751A78">
        <w:rPr>
          <w:color w:val="auto"/>
        </w:rPr>
        <w:t>excluding employees from certain innovative activities mitigates the risks of cognitive property suits</w:t>
      </w:r>
      <w:r w:rsidR="00D0770A" w:rsidRPr="00DD1543">
        <w:rPr>
          <w:color w:val="auto"/>
        </w:rPr>
        <w:t xml:space="preserve">. </w:t>
      </w:r>
      <w:r w:rsidR="00844DD5" w:rsidRPr="00DD1543">
        <w:rPr>
          <w:color w:val="auto"/>
        </w:rPr>
        <w:t xml:space="preserve">New employers who </w:t>
      </w:r>
      <w:r w:rsidR="00844DD5">
        <w:rPr>
          <w:color w:val="auto"/>
        </w:rPr>
        <w:t xml:space="preserve">desire to </w:t>
      </w:r>
      <w:r w:rsidR="00844DD5" w:rsidRPr="00DD1543">
        <w:rPr>
          <w:color w:val="auto"/>
        </w:rPr>
        <w:t>compl</w:t>
      </w:r>
      <w:r w:rsidR="00844DD5">
        <w:rPr>
          <w:color w:val="auto"/>
        </w:rPr>
        <w:t>y</w:t>
      </w:r>
      <w:r w:rsidR="00844DD5" w:rsidRPr="00DD1543">
        <w:rPr>
          <w:color w:val="auto"/>
        </w:rPr>
        <w:t xml:space="preserve"> and not risk </w:t>
      </w:r>
      <w:r w:rsidR="00981326">
        <w:rPr>
          <w:color w:val="auto"/>
        </w:rPr>
        <w:t xml:space="preserve">the </w:t>
      </w:r>
      <w:r w:rsidR="00844DD5" w:rsidRPr="00DD1543">
        <w:rPr>
          <w:color w:val="auto"/>
        </w:rPr>
        <w:t xml:space="preserve">civil and criminal implications of using cognitive property are likely to go through inefficient and disruptive inquisitive processes, including </w:t>
      </w:r>
      <w:r w:rsidR="00844DD5">
        <w:rPr>
          <w:color w:val="auto"/>
        </w:rPr>
        <w:t>the exclusion of</w:t>
      </w:r>
      <w:r w:rsidR="00844DD5" w:rsidRPr="00DD1543">
        <w:rPr>
          <w:color w:val="auto"/>
        </w:rPr>
        <w:t xml:space="preserve"> employees from the inventive activities in w</w:t>
      </w:r>
      <w:r w:rsidR="00844DD5">
        <w:rPr>
          <w:color w:val="auto"/>
        </w:rPr>
        <w:t xml:space="preserve">hich they are most experienced. </w:t>
      </w:r>
      <w:r w:rsidR="00764019">
        <w:rPr>
          <w:color w:val="auto"/>
        </w:rPr>
        <w:t>To</w:t>
      </w:r>
      <w:r w:rsidR="00764019" w:rsidRPr="00DD1543">
        <w:rPr>
          <w:color w:val="auto"/>
        </w:rPr>
        <w:t xml:space="preserve"> </w:t>
      </w:r>
      <w:r w:rsidR="00D0770A" w:rsidRPr="00DD1543">
        <w:rPr>
          <w:color w:val="auto"/>
        </w:rPr>
        <w:t>smaller and newer firms</w:t>
      </w:r>
      <w:r w:rsidR="00D0770A">
        <w:rPr>
          <w:color w:val="auto"/>
        </w:rPr>
        <w:t xml:space="preserve"> however</w:t>
      </w:r>
      <w:r w:rsidR="00D0770A" w:rsidRPr="00DD1543">
        <w:rPr>
          <w:color w:val="auto"/>
        </w:rPr>
        <w:t xml:space="preserve">, these divisions, which are greatly inefficient in any firm, are impossible. </w:t>
      </w:r>
      <w:r w:rsidR="00D0770A">
        <w:rPr>
          <w:color w:val="auto"/>
        </w:rPr>
        <w:t>L</w:t>
      </w:r>
      <w:r w:rsidR="00D0770A" w:rsidRPr="00DD1543">
        <w:rPr>
          <w:color w:val="auto"/>
        </w:rPr>
        <w:t xml:space="preserve">arger companies with sufficient legal and financial resources can aggressively drive out competition even when their legal claims </w:t>
      </w:r>
      <w:r w:rsidR="00981326">
        <w:rPr>
          <w:color w:val="auto"/>
        </w:rPr>
        <w:t>rest</w:t>
      </w:r>
      <w:r w:rsidR="00981326" w:rsidRPr="00DD1543">
        <w:rPr>
          <w:color w:val="auto"/>
        </w:rPr>
        <w:t xml:space="preserve"> </w:t>
      </w:r>
      <w:r w:rsidR="00D0770A" w:rsidRPr="00DD1543">
        <w:rPr>
          <w:color w:val="auto"/>
        </w:rPr>
        <w:t>on weak grounds.</w:t>
      </w:r>
      <w:r w:rsidR="007241A7">
        <w:rPr>
          <w:rStyle w:val="FootnoteReference"/>
          <w:color w:val="auto"/>
        </w:rPr>
        <w:footnoteReference w:id="241"/>
      </w:r>
      <w:r w:rsidR="00844DD5" w:rsidRPr="00844DD5">
        <w:rPr>
          <w:color w:val="auto"/>
        </w:rPr>
        <w:t xml:space="preserve"> </w:t>
      </w:r>
      <w:r w:rsidR="00844DD5" w:rsidRPr="00DD1543">
        <w:rPr>
          <w:color w:val="auto"/>
        </w:rPr>
        <w:t>Litigation is strategic when it is motivated by and thrives from the uncertainty of claims, high cost of litigation, and asymmetry in the stakes faced by the company and the former employees.</w:t>
      </w:r>
      <w:r w:rsidR="00844DD5" w:rsidRPr="00DD1543">
        <w:rPr>
          <w:color w:val="auto"/>
          <w:vertAlign w:val="superscript"/>
        </w:rPr>
        <w:footnoteReference w:id="242"/>
      </w:r>
      <w:r w:rsidR="00844DD5">
        <w:rPr>
          <w:color w:val="auto"/>
        </w:rPr>
        <w:t xml:space="preserve"> </w:t>
      </w:r>
      <w:r w:rsidR="00D0770A">
        <w:rPr>
          <w:color w:val="auto"/>
        </w:rPr>
        <w:t>E</w:t>
      </w:r>
      <w:r w:rsidR="00D0770A" w:rsidRPr="00DD1543">
        <w:rPr>
          <w:color w:val="auto"/>
        </w:rPr>
        <w:t>ven when claims cannot be substantiated, small companies can be driven out of markets.</w:t>
      </w:r>
      <w:r w:rsidR="00204F91">
        <w:rPr>
          <w:rStyle w:val="FootnoteReference"/>
          <w:color w:val="auto"/>
        </w:rPr>
        <w:footnoteReference w:id="243"/>
      </w:r>
      <w:r w:rsidR="00D0770A">
        <w:rPr>
          <w:color w:val="auto"/>
        </w:rPr>
        <w:t xml:space="preserve"> In general, </w:t>
      </w:r>
      <w:r w:rsidR="00D0770A" w:rsidRPr="00DD1543">
        <w:rPr>
          <w:color w:val="auto"/>
        </w:rPr>
        <w:t xml:space="preserve">litigation over </w:t>
      </w:r>
      <w:r w:rsidR="00844DD5">
        <w:rPr>
          <w:color w:val="auto"/>
        </w:rPr>
        <w:t>IP and human capital</w:t>
      </w:r>
      <w:r w:rsidR="00D0770A" w:rsidRPr="00DD1543">
        <w:rPr>
          <w:color w:val="auto"/>
        </w:rPr>
        <w:t>, even in the absence of structural penalties on target defendants, has the power to create sufficient uncertainty to kill a venture.</w:t>
      </w:r>
      <w:r w:rsidR="008C0A78">
        <w:rPr>
          <w:rStyle w:val="FootnoteReference"/>
          <w:color w:val="auto"/>
        </w:rPr>
        <w:footnoteReference w:id="244"/>
      </w:r>
      <w:r w:rsidR="00844DD5" w:rsidRPr="00844DD5">
        <w:rPr>
          <w:color w:val="auto"/>
        </w:rPr>
        <w:t xml:space="preserve"> </w:t>
      </w:r>
      <w:r w:rsidR="00844DD5">
        <w:rPr>
          <w:color w:val="auto"/>
        </w:rPr>
        <w:t xml:space="preserve">Thus, under the new cognitive property, employees who face a choice whether to leave to form a new company or to join an established company </w:t>
      </w:r>
      <w:r w:rsidR="00844DD5" w:rsidRPr="00DD1543">
        <w:rPr>
          <w:color w:val="auto"/>
        </w:rPr>
        <w:t>are likely to consider the potential costs of legal li</w:t>
      </w:r>
      <w:r w:rsidR="00844DD5">
        <w:rPr>
          <w:color w:val="auto"/>
        </w:rPr>
        <w:t>abilities and decide against entrepreneurship.</w:t>
      </w:r>
      <w:r w:rsidR="00844DD5">
        <w:rPr>
          <w:rStyle w:val="FootnoteReference"/>
          <w:color w:val="auto"/>
        </w:rPr>
        <w:footnoteReference w:id="245"/>
      </w:r>
      <w:r w:rsidR="00844DD5">
        <w:rPr>
          <w:color w:val="auto"/>
        </w:rPr>
        <w:t xml:space="preserve"> </w:t>
      </w:r>
    </w:p>
    <w:p w14:paraId="6A35DBFB" w14:textId="77777777" w:rsidR="007F1F19" w:rsidRPr="00DD1543" w:rsidRDefault="007F1F19" w:rsidP="00C24430">
      <w:pPr>
        <w:pStyle w:val="MediumGrid1-Accent21"/>
        <w:ind w:left="0"/>
        <w:jc w:val="both"/>
        <w:rPr>
          <w:color w:val="auto"/>
        </w:rPr>
      </w:pPr>
    </w:p>
    <w:p w14:paraId="2F450BB8" w14:textId="18BECE02" w:rsidR="00781ACB" w:rsidRDefault="002318AA" w:rsidP="00DB03B1">
      <w:pPr>
        <w:ind w:firstLine="720"/>
        <w:rPr>
          <w:rFonts w:hAnsi="Times New Roman" w:cs="Times New Roman"/>
          <w:color w:val="auto"/>
        </w:rPr>
      </w:pPr>
      <w:r w:rsidRPr="00DD1543">
        <w:rPr>
          <w:color w:val="auto"/>
        </w:rPr>
        <w:t>The new cognitive property</w:t>
      </w:r>
      <w:r w:rsidR="00DB03B1">
        <w:rPr>
          <w:color w:val="auto"/>
        </w:rPr>
        <w:t xml:space="preserve"> thus</w:t>
      </w:r>
      <w:r w:rsidRPr="00DD1543">
        <w:rPr>
          <w:color w:val="auto"/>
        </w:rPr>
        <w:t xml:space="preserve"> advantages firms with superior resources. </w:t>
      </w:r>
      <w:r w:rsidR="00936B2B">
        <w:rPr>
          <w:color w:val="auto"/>
        </w:rPr>
        <w:t>A</w:t>
      </w:r>
      <w:r w:rsidRPr="00DD1543">
        <w:rPr>
          <w:color w:val="auto"/>
        </w:rPr>
        <w:t xml:space="preserve">symmetrical litigiousness directed at employees who wish to leave an employer operates </w:t>
      </w:r>
      <w:r w:rsidR="00E96831">
        <w:rPr>
          <w:color w:val="auto"/>
        </w:rPr>
        <w:t>similarly</w:t>
      </w:r>
      <w:r w:rsidRPr="00DD1543">
        <w:rPr>
          <w:color w:val="auto"/>
        </w:rPr>
        <w:t xml:space="preserve"> to non-competes. </w:t>
      </w:r>
      <w:r w:rsidRPr="00DD1543">
        <w:rPr>
          <w:rFonts w:hAnsi="Times New Roman" w:cs="Times New Roman"/>
          <w:color w:val="auto"/>
        </w:rPr>
        <w:t xml:space="preserve">Human capital </w:t>
      </w:r>
      <w:r w:rsidR="00DB03B1">
        <w:rPr>
          <w:rFonts w:hAnsi="Times New Roman" w:cs="Times New Roman"/>
          <w:color w:val="auto"/>
        </w:rPr>
        <w:t>law</w:t>
      </w:r>
      <w:r w:rsidRPr="00DD1543">
        <w:rPr>
          <w:rFonts w:hAnsi="Times New Roman" w:cs="Times New Roman"/>
          <w:color w:val="auto"/>
        </w:rPr>
        <w:t xml:space="preserve"> – </w:t>
      </w:r>
      <w:r w:rsidR="00DB03B1">
        <w:rPr>
          <w:rFonts w:hAnsi="Times New Roman" w:cs="Times New Roman"/>
          <w:color w:val="auto"/>
        </w:rPr>
        <w:t>with the rise in</w:t>
      </w:r>
      <w:r w:rsidRPr="00DD1543">
        <w:rPr>
          <w:rFonts w:hAnsi="Times New Roman" w:cs="Times New Roman"/>
          <w:color w:val="auto"/>
        </w:rPr>
        <w:t xml:space="preserve"> non-compete</w:t>
      </w:r>
      <w:r w:rsidR="00DB03B1">
        <w:rPr>
          <w:rFonts w:hAnsi="Times New Roman" w:cs="Times New Roman"/>
          <w:color w:val="auto"/>
        </w:rPr>
        <w:t>s</w:t>
      </w:r>
      <w:r w:rsidRPr="00DD1543">
        <w:rPr>
          <w:rFonts w:hAnsi="Times New Roman" w:cs="Times New Roman"/>
          <w:color w:val="auto"/>
        </w:rPr>
        <w:t xml:space="preserve">, </w:t>
      </w:r>
      <w:r w:rsidR="00DB03B1">
        <w:rPr>
          <w:rFonts w:hAnsi="Times New Roman" w:cs="Times New Roman"/>
          <w:color w:val="auto"/>
        </w:rPr>
        <w:t>expansion of the type of</w:t>
      </w:r>
      <w:r w:rsidRPr="00DD1543">
        <w:rPr>
          <w:rFonts w:hAnsi="Times New Roman" w:cs="Times New Roman"/>
          <w:color w:val="auto"/>
        </w:rPr>
        <w:t xml:space="preserve"> confidential information as protected trade secrets, </w:t>
      </w:r>
      <w:r w:rsidR="00DB03B1">
        <w:rPr>
          <w:rFonts w:hAnsi="Times New Roman" w:cs="Times New Roman"/>
          <w:color w:val="auto"/>
        </w:rPr>
        <w:t>expansion of innovation pre-assignment and its aggressive enforcement</w:t>
      </w:r>
      <w:r w:rsidR="00733D6B">
        <w:rPr>
          <w:rFonts w:hAnsi="Times New Roman" w:cs="Times New Roman"/>
          <w:color w:val="auto"/>
        </w:rPr>
        <w:t xml:space="preserve"> – </w:t>
      </w:r>
      <w:r w:rsidRPr="00DD1543">
        <w:rPr>
          <w:rFonts w:hAnsi="Times New Roman" w:cs="Times New Roman"/>
          <w:color w:val="auto"/>
        </w:rPr>
        <w:t>have traditionally striven to protect freedom of contract and to encourage businesses’ initial incentives to invest in innovation.</w:t>
      </w:r>
      <w:r w:rsidRPr="00DD1543">
        <w:rPr>
          <w:rFonts w:hAnsi="Times New Roman" w:cs="Times New Roman"/>
          <w:color w:val="auto"/>
          <w:vertAlign w:val="superscript"/>
        </w:rPr>
        <w:footnoteReference w:id="246"/>
      </w:r>
      <w:r w:rsidRPr="00DD1543">
        <w:rPr>
          <w:rFonts w:hAnsi="Times New Roman" w:cs="Times New Roman"/>
          <w:color w:val="auto"/>
        </w:rPr>
        <w:t xml:space="preserve"> </w:t>
      </w:r>
      <w:r w:rsidR="00DB03B1">
        <w:rPr>
          <w:rFonts w:hAnsi="Times New Roman" w:cs="Times New Roman"/>
          <w:color w:val="auto"/>
        </w:rPr>
        <w:t>N</w:t>
      </w:r>
      <w:r w:rsidRPr="00DD1543">
        <w:rPr>
          <w:rFonts w:hAnsi="Times New Roman" w:cs="Times New Roman"/>
          <w:color w:val="auto"/>
        </w:rPr>
        <w:t xml:space="preserve">ew research challenges us to rethink our approach to </w:t>
      </w:r>
      <w:r w:rsidR="00DB03B1">
        <w:rPr>
          <w:rFonts w:hAnsi="Times New Roman" w:cs="Times New Roman"/>
          <w:color w:val="auto"/>
        </w:rPr>
        <w:t xml:space="preserve">these </w:t>
      </w:r>
      <w:r w:rsidRPr="00DD1543">
        <w:rPr>
          <w:rFonts w:hAnsi="Times New Roman" w:cs="Times New Roman"/>
          <w:color w:val="auto"/>
        </w:rPr>
        <w:t>regimes. The evidence is nearly universal. Overall, excessive controls over mobility and inventiveness are harmful to careers, regions, and innovation. The harm is not simply caused by the aggregate reduction in mobility, knowledge flow, and network richness, but</w:t>
      </w:r>
      <w:r w:rsidR="00466D0A">
        <w:rPr>
          <w:rFonts w:hAnsi="Times New Roman" w:cs="Times New Roman"/>
          <w:color w:val="auto"/>
        </w:rPr>
        <w:t xml:space="preserve"> is</w:t>
      </w:r>
      <w:r w:rsidRPr="00DD1543">
        <w:rPr>
          <w:rFonts w:hAnsi="Times New Roman" w:cs="Times New Roman"/>
          <w:color w:val="auto"/>
        </w:rPr>
        <w:t xml:space="preserve"> also </w:t>
      </w:r>
      <w:r w:rsidR="00E96831">
        <w:rPr>
          <w:rFonts w:hAnsi="Times New Roman" w:cs="Times New Roman"/>
          <w:color w:val="auto"/>
        </w:rPr>
        <w:t>created</w:t>
      </w:r>
      <w:r w:rsidR="00E96831" w:rsidRPr="00DD1543">
        <w:rPr>
          <w:rFonts w:hAnsi="Times New Roman" w:cs="Times New Roman"/>
          <w:color w:val="auto"/>
        </w:rPr>
        <w:t xml:space="preserve"> </w:t>
      </w:r>
      <w:r w:rsidRPr="00DD1543">
        <w:rPr>
          <w:rFonts w:hAnsi="Times New Roman" w:cs="Times New Roman"/>
          <w:color w:val="auto"/>
        </w:rPr>
        <w:t>by the motivational and behavioral aspects of creative individuals as they interact with their environment.</w:t>
      </w:r>
      <w:r w:rsidR="00DB03B1">
        <w:rPr>
          <w:rFonts w:hAnsi="Times New Roman" w:cs="Times New Roman"/>
          <w:color w:val="auto"/>
        </w:rPr>
        <w:t xml:space="preserve"> In particular, it stymies the entry of new competitors into the market and suppresses the spirit of entrepreneurship, </w:t>
      </w:r>
      <w:r w:rsidR="002A44FB">
        <w:rPr>
          <w:rFonts w:hAnsi="Times New Roman" w:cs="Times New Roman"/>
          <w:color w:val="auto"/>
        </w:rPr>
        <w:t xml:space="preserve">which is </w:t>
      </w:r>
      <w:r w:rsidR="00DB03B1">
        <w:rPr>
          <w:rFonts w:hAnsi="Times New Roman" w:cs="Times New Roman"/>
          <w:color w:val="auto"/>
        </w:rPr>
        <w:t>vital to any economy.</w:t>
      </w:r>
    </w:p>
    <w:p w14:paraId="06DF5C07" w14:textId="77777777" w:rsidR="00781ACB" w:rsidRPr="00DD1543" w:rsidRDefault="00781ACB">
      <w:pPr>
        <w:ind w:firstLine="720"/>
        <w:rPr>
          <w:rFonts w:hAnsi="Times New Roman" w:cs="Times New Roman"/>
          <w:color w:val="auto"/>
        </w:rPr>
      </w:pPr>
    </w:p>
    <w:p w14:paraId="41DA2546" w14:textId="77777777" w:rsidR="007F1F19" w:rsidRPr="00DD1543" w:rsidRDefault="007F1F19" w:rsidP="00C24430">
      <w:pPr>
        <w:ind w:firstLine="0"/>
        <w:rPr>
          <w:rFonts w:hAnsi="Times New Roman" w:cs="Times New Roman"/>
          <w:color w:val="auto"/>
        </w:rPr>
      </w:pPr>
    </w:p>
    <w:p w14:paraId="68D4D920" w14:textId="77777777" w:rsidR="007F1F19" w:rsidRPr="00DD1543" w:rsidRDefault="002318AA">
      <w:pPr>
        <w:pStyle w:val="Heading1"/>
        <w:rPr>
          <w:color w:val="auto"/>
        </w:rPr>
      </w:pPr>
      <w:bookmarkStart w:id="36" w:name="_Toc399167406"/>
      <w:r w:rsidRPr="00DD1543">
        <w:rPr>
          <w:rFonts w:eastAsia="Arial Unicode MS"/>
          <w:color w:val="auto"/>
        </w:rPr>
        <w:t>Conclusion</w:t>
      </w:r>
      <w:bookmarkEnd w:id="36"/>
    </w:p>
    <w:p w14:paraId="489A93A4" w14:textId="77777777" w:rsidR="007F1F19" w:rsidRPr="00DD1543" w:rsidRDefault="007F1F19">
      <w:pPr>
        <w:ind w:firstLine="720"/>
        <w:rPr>
          <w:rFonts w:hAnsi="Times New Roman" w:cs="Times New Roman"/>
          <w:color w:val="auto"/>
        </w:rPr>
      </w:pPr>
    </w:p>
    <w:p w14:paraId="6D1ECD72" w14:textId="144D7912" w:rsidR="00DF7953" w:rsidRPr="00512496" w:rsidRDefault="00E81F96" w:rsidP="007D348E">
      <w:pPr>
        <w:spacing w:before="100" w:after="100"/>
        <w:ind w:firstLine="720"/>
        <w:rPr>
          <w:color w:val="auto"/>
        </w:rPr>
      </w:pPr>
      <w:r>
        <w:rPr>
          <w:rFonts w:hAnsi="Times New Roman" w:cs="Times New Roman"/>
          <w:color w:val="auto"/>
        </w:rPr>
        <w:t>Contemporary</w:t>
      </w:r>
      <w:r w:rsidR="002318AA" w:rsidRPr="00DD1543">
        <w:rPr>
          <w:rFonts w:hAnsi="Times New Roman" w:cs="Times New Roman"/>
          <w:color w:val="auto"/>
        </w:rPr>
        <w:t xml:space="preserve"> human capital </w:t>
      </w:r>
      <w:r>
        <w:rPr>
          <w:rFonts w:hAnsi="Times New Roman" w:cs="Times New Roman"/>
          <w:color w:val="auto"/>
        </w:rPr>
        <w:t xml:space="preserve">law </w:t>
      </w:r>
      <w:r w:rsidR="002318AA" w:rsidRPr="00DD1543">
        <w:rPr>
          <w:rFonts w:hAnsi="Times New Roman" w:cs="Times New Roman"/>
          <w:color w:val="auto"/>
        </w:rPr>
        <w:t xml:space="preserve">is a mongrel </w:t>
      </w:r>
      <w:r w:rsidR="00AF2805">
        <w:rPr>
          <w:rFonts w:hAnsi="Times New Roman" w:cs="Times New Roman"/>
          <w:color w:val="auto"/>
        </w:rPr>
        <w:t>amoebic</w:t>
      </w:r>
      <w:r w:rsidR="002318AA" w:rsidRPr="00DD1543">
        <w:rPr>
          <w:rFonts w:hAnsi="Times New Roman" w:cs="Times New Roman"/>
          <w:color w:val="auto"/>
        </w:rPr>
        <w:t xml:space="preserve"> creature</w:t>
      </w:r>
      <w:r w:rsidR="00474D8C">
        <w:rPr>
          <w:rFonts w:hAnsi="Times New Roman" w:cs="Times New Roman"/>
          <w:color w:val="auto"/>
        </w:rPr>
        <w:t xml:space="preserve"> that has grown under the radar for too long</w:t>
      </w:r>
      <w:r w:rsidR="002318AA" w:rsidRPr="00DD1543">
        <w:rPr>
          <w:rFonts w:hAnsi="Times New Roman" w:cs="Times New Roman"/>
          <w:color w:val="auto"/>
        </w:rPr>
        <w:t xml:space="preserve">. </w:t>
      </w:r>
      <w:r>
        <w:rPr>
          <w:rFonts w:hAnsi="Times New Roman" w:cs="Times New Roman"/>
          <w:color w:val="auto"/>
        </w:rPr>
        <w:t>Through doctrine and contract, the rise of the new cognitive</w:t>
      </w:r>
      <w:r w:rsidR="00CF2080">
        <w:rPr>
          <w:rFonts w:hAnsi="Times New Roman" w:cs="Times New Roman"/>
          <w:color w:val="auto"/>
        </w:rPr>
        <w:t xml:space="preserve"> </w:t>
      </w:r>
      <w:r>
        <w:rPr>
          <w:rFonts w:hAnsi="Times New Roman" w:cs="Times New Roman"/>
          <w:color w:val="auto"/>
        </w:rPr>
        <w:t xml:space="preserve">property </w:t>
      </w:r>
      <w:r w:rsidR="00CF2080">
        <w:rPr>
          <w:rFonts w:hAnsi="Times New Roman" w:cs="Times New Roman"/>
          <w:color w:val="auto"/>
        </w:rPr>
        <w:t>remove</w:t>
      </w:r>
      <w:r>
        <w:rPr>
          <w:rFonts w:hAnsi="Times New Roman" w:cs="Times New Roman"/>
          <w:color w:val="auto"/>
        </w:rPr>
        <w:t>s</w:t>
      </w:r>
      <w:r w:rsidR="002318AA" w:rsidRPr="00DD1543">
        <w:rPr>
          <w:rFonts w:hAnsi="Times New Roman" w:cs="Times New Roman"/>
          <w:color w:val="auto"/>
        </w:rPr>
        <w:t xml:space="preserve"> not only the </w:t>
      </w:r>
      <w:r w:rsidR="002318AA" w:rsidRPr="00CF2080">
        <w:rPr>
          <w:rFonts w:hAnsi="Times New Roman" w:cs="Times New Roman"/>
          <w:color w:val="auto"/>
        </w:rPr>
        <w:t>outputs</w:t>
      </w:r>
      <w:r w:rsidR="002318AA" w:rsidRPr="00DD1543">
        <w:rPr>
          <w:rFonts w:hAnsi="Times New Roman" w:cs="Times New Roman"/>
          <w:color w:val="auto"/>
        </w:rPr>
        <w:t> of innovation but also its inputs, including skills, experience, tacit knowledge, professional relationships, motivation</w:t>
      </w:r>
      <w:r w:rsidR="007D348E">
        <w:rPr>
          <w:rFonts w:hAnsi="Times New Roman" w:cs="Times New Roman"/>
          <w:color w:val="auto"/>
        </w:rPr>
        <w:t>,</w:t>
      </w:r>
      <w:r w:rsidR="002318AA" w:rsidRPr="00DD1543">
        <w:rPr>
          <w:rFonts w:hAnsi="Times New Roman" w:cs="Times New Roman"/>
          <w:color w:val="auto"/>
        </w:rPr>
        <w:t xml:space="preserve"> and </w:t>
      </w:r>
      <w:r w:rsidR="007D348E">
        <w:rPr>
          <w:rFonts w:hAnsi="Times New Roman" w:cs="Times New Roman"/>
          <w:color w:val="auto"/>
        </w:rPr>
        <w:t xml:space="preserve">innovative </w:t>
      </w:r>
      <w:r w:rsidR="002318AA" w:rsidRPr="00DD1543">
        <w:rPr>
          <w:rFonts w:hAnsi="Times New Roman" w:cs="Times New Roman"/>
          <w:color w:val="auto"/>
        </w:rPr>
        <w:t>potential from the public domain. </w:t>
      </w:r>
      <w:r w:rsidR="00BD4C14" w:rsidRPr="00DD1543">
        <w:rPr>
          <w:rFonts w:hAnsi="Times New Roman" w:cs="Times New Roman"/>
          <w:color w:val="auto"/>
        </w:rPr>
        <w:t xml:space="preserve">The heightened significance of human capital as a </w:t>
      </w:r>
      <w:r w:rsidR="00C06C80">
        <w:rPr>
          <w:rFonts w:hAnsi="Times New Roman" w:cs="Times New Roman"/>
          <w:color w:val="auto"/>
        </w:rPr>
        <w:t xml:space="preserve">highly </w:t>
      </w:r>
      <w:r w:rsidR="00BD4C14" w:rsidRPr="00DD1543">
        <w:rPr>
          <w:rFonts w:hAnsi="Times New Roman" w:cs="Times New Roman"/>
          <w:color w:val="auto"/>
        </w:rPr>
        <w:t xml:space="preserve">valuable </w:t>
      </w:r>
      <w:r w:rsidR="00C06C80">
        <w:rPr>
          <w:rFonts w:hAnsi="Times New Roman" w:cs="Times New Roman"/>
          <w:color w:val="auto"/>
        </w:rPr>
        <w:t>resource along with dramatic changes in labor markets</w:t>
      </w:r>
      <w:r w:rsidR="00BD4C14" w:rsidRPr="00DD1543">
        <w:rPr>
          <w:rFonts w:hAnsi="Times New Roman" w:cs="Times New Roman"/>
          <w:color w:val="auto"/>
        </w:rPr>
        <w:t xml:space="preserve"> has effectuated record numbers of disputes and conflicts.</w:t>
      </w:r>
      <w:r w:rsidR="00BD4C14">
        <w:rPr>
          <w:rFonts w:hAnsi="Times New Roman" w:cs="Times New Roman"/>
          <w:color w:val="auto"/>
        </w:rPr>
        <w:t xml:space="preserve"> </w:t>
      </w:r>
      <w:r w:rsidR="007D348E">
        <w:t xml:space="preserve">This article has argued that the </w:t>
      </w:r>
      <w:r w:rsidR="00BD4C14">
        <w:t>rise of cognitive property creates too many walls</w:t>
      </w:r>
      <w:r w:rsidR="00004D29">
        <w:t xml:space="preserve"> that</w:t>
      </w:r>
      <w:r w:rsidR="00BD4C14">
        <w:t xml:space="preserve"> enclos</w:t>
      </w:r>
      <w:r w:rsidR="00004D29">
        <w:t>e</w:t>
      </w:r>
      <w:r w:rsidR="00BD4C14">
        <w:t xml:space="preserve"> vital </w:t>
      </w:r>
      <w:r w:rsidR="00BD4C14" w:rsidRPr="00DD1543">
        <w:t xml:space="preserve">knowledge and creative potential. </w:t>
      </w:r>
      <w:r w:rsidR="007D348E" w:rsidRPr="00DD1543">
        <w:t>In the twenty-first century, human capital</w:t>
      </w:r>
      <w:r w:rsidR="007D348E">
        <w:t xml:space="preserve"> law has thus become one of</w:t>
      </w:r>
      <w:r w:rsidR="007D348E" w:rsidRPr="00DD1543">
        <w:t xml:space="preserve"> our most acute collective challenge</w:t>
      </w:r>
      <w:r w:rsidR="007D348E">
        <w:t xml:space="preserve">s. </w:t>
      </w:r>
      <w:r w:rsidR="007B7402">
        <w:rPr>
          <w:color w:val="auto"/>
        </w:rPr>
        <w:t xml:space="preserve">Restrictions on </w:t>
      </w:r>
      <w:r w:rsidR="00C06C80">
        <w:rPr>
          <w:color w:val="auto"/>
        </w:rPr>
        <w:t>the flow of knowledge</w:t>
      </w:r>
      <w:r w:rsidR="007B7402">
        <w:rPr>
          <w:color w:val="auto"/>
        </w:rPr>
        <w:t xml:space="preserve">, </w:t>
      </w:r>
      <w:r w:rsidR="00C06C80">
        <w:rPr>
          <w:color w:val="auto"/>
        </w:rPr>
        <w:t xml:space="preserve">through </w:t>
      </w:r>
      <w:r w:rsidR="007B7402">
        <w:rPr>
          <w:color w:val="auto"/>
        </w:rPr>
        <w:t xml:space="preserve">non-competes, non-dealings agreements, trailer clauses, </w:t>
      </w:r>
      <w:r w:rsidR="00562B7C">
        <w:rPr>
          <w:color w:val="auto"/>
        </w:rPr>
        <w:t xml:space="preserve">and </w:t>
      </w:r>
      <w:r w:rsidR="007B7402">
        <w:rPr>
          <w:color w:val="auto"/>
        </w:rPr>
        <w:t>pre-innovation clauses</w:t>
      </w:r>
      <w:r w:rsidR="00C06C80">
        <w:rPr>
          <w:color w:val="auto"/>
        </w:rPr>
        <w:t xml:space="preserve">, </w:t>
      </w:r>
      <w:r w:rsidR="007B7402" w:rsidRPr="00DD1543">
        <w:rPr>
          <w:color w:val="auto"/>
        </w:rPr>
        <w:t>contaminate market flows</w:t>
      </w:r>
      <w:r w:rsidR="007B7402">
        <w:rPr>
          <w:color w:val="auto"/>
        </w:rPr>
        <w:t xml:space="preserve"> and diminish b</w:t>
      </w:r>
      <w:r w:rsidR="007B7402" w:rsidRPr="00DD1543">
        <w:rPr>
          <w:color w:val="auto"/>
        </w:rPr>
        <w:t>oth the incentives to move efficiently in the market and the incentives to innovate.</w:t>
      </w:r>
      <w:r w:rsidR="007B7402">
        <w:rPr>
          <w:color w:val="auto"/>
        </w:rPr>
        <w:t xml:space="preserve"> </w:t>
      </w:r>
      <w:r w:rsidR="00CB67D9" w:rsidRPr="00DD1543">
        <w:t xml:space="preserve">For knowledge to flow, for networks to remain dense, for motivation to keep innovation high, </w:t>
      </w:r>
      <w:r w:rsidR="00CB67D9">
        <w:t xml:space="preserve">and </w:t>
      </w:r>
      <w:r w:rsidR="00CB67D9" w:rsidRPr="00DD1543">
        <w:t xml:space="preserve">for new blood to disrupt stagnated paths, </w:t>
      </w:r>
      <w:r w:rsidR="00C06C80">
        <w:t xml:space="preserve">the law must </w:t>
      </w:r>
      <w:r w:rsidR="00DF7953">
        <w:t>upend</w:t>
      </w:r>
      <w:r w:rsidR="00C06C80">
        <w:t xml:space="preserve"> the </w:t>
      </w:r>
      <w:r w:rsidR="00512496">
        <w:t xml:space="preserve">rapid </w:t>
      </w:r>
      <w:r w:rsidR="00C06C80">
        <w:t>rise of the new cognitive property</w:t>
      </w:r>
      <w:r w:rsidR="00DF7953">
        <w:t xml:space="preserve"> and </w:t>
      </w:r>
      <w:r w:rsidR="00DF7953">
        <w:rPr>
          <w:rFonts w:hAnsi="Times New Roman" w:cs="Times New Roman"/>
          <w:color w:val="auto"/>
        </w:rPr>
        <w:t xml:space="preserve">restore the balance between protected forms of </w:t>
      </w:r>
      <w:r w:rsidR="00512496">
        <w:rPr>
          <w:rFonts w:hAnsi="Times New Roman" w:cs="Times New Roman"/>
          <w:color w:val="auto"/>
        </w:rPr>
        <w:t>information</w:t>
      </w:r>
      <w:r w:rsidR="00DF7953">
        <w:rPr>
          <w:rFonts w:hAnsi="Times New Roman" w:cs="Times New Roman"/>
          <w:color w:val="auto"/>
        </w:rPr>
        <w:t xml:space="preserve"> and a </w:t>
      </w:r>
      <w:r w:rsidR="007D348E">
        <w:rPr>
          <w:rFonts w:hAnsi="Times New Roman" w:cs="Times New Roman"/>
          <w:color w:val="auto"/>
        </w:rPr>
        <w:t>vital</w:t>
      </w:r>
      <w:r w:rsidR="00DF7953">
        <w:rPr>
          <w:rFonts w:hAnsi="Times New Roman" w:cs="Times New Roman"/>
          <w:color w:val="auto"/>
        </w:rPr>
        <w:t xml:space="preserve"> public domain.</w:t>
      </w:r>
    </w:p>
    <w:p w14:paraId="51BC8A92" w14:textId="77777777" w:rsidR="00474D8C" w:rsidRPr="00DD1543" w:rsidRDefault="00474D8C">
      <w:pPr>
        <w:ind w:firstLine="720"/>
        <w:rPr>
          <w:rFonts w:eastAsia="Arial" w:hAnsi="Times New Roman" w:cs="Times New Roman"/>
          <w:color w:val="auto"/>
          <w:u w:color="1E1E1E"/>
          <w:shd w:val="clear" w:color="auto" w:fill="E9E9E9"/>
        </w:rPr>
      </w:pPr>
    </w:p>
    <w:p w14:paraId="491CDC21" w14:textId="77777777" w:rsidR="007F1F19" w:rsidRPr="00DD1543" w:rsidRDefault="007F1F19">
      <w:pPr>
        <w:ind w:firstLine="720"/>
        <w:rPr>
          <w:rFonts w:eastAsia="Arial" w:hAnsi="Times New Roman" w:cs="Times New Roman"/>
          <w:color w:val="auto"/>
          <w:u w:color="1E1E1E"/>
          <w:shd w:val="clear" w:color="auto" w:fill="E9E9E9"/>
        </w:rPr>
      </w:pPr>
    </w:p>
    <w:p w14:paraId="7335B6B3" w14:textId="77777777" w:rsidR="00932D97" w:rsidRDefault="002318AA" w:rsidP="00C06C80">
      <w:pPr>
        <w:spacing w:before="100" w:after="100"/>
        <w:rPr>
          <w:rFonts w:hAnsi="Times New Roman" w:cs="Times New Roman"/>
          <w:color w:val="auto"/>
        </w:rPr>
      </w:pPr>
      <w:r w:rsidRPr="00DD1543">
        <w:rPr>
          <w:rFonts w:hAnsi="Times New Roman" w:cs="Times New Roman"/>
          <w:color w:val="auto"/>
        </w:rPr>
        <w:t> </w:t>
      </w:r>
      <w:r w:rsidR="00932D97" w:rsidRPr="00DD1543">
        <w:rPr>
          <w:rFonts w:hAnsi="Times New Roman" w:cs="Times New Roman"/>
          <w:color w:val="auto"/>
        </w:rPr>
        <w:t xml:space="preserve"> </w:t>
      </w:r>
    </w:p>
    <w:p w14:paraId="6EAEF3A0" w14:textId="77777777" w:rsidR="00932D97" w:rsidRDefault="00932D97">
      <w:pPr>
        <w:ind w:firstLine="720"/>
        <w:rPr>
          <w:rFonts w:hAnsi="Times New Roman" w:cs="Times New Roman"/>
          <w:color w:val="auto"/>
        </w:rPr>
      </w:pPr>
    </w:p>
    <w:p w14:paraId="48C5320B" w14:textId="77777777" w:rsidR="00764BBF" w:rsidRDefault="00764BBF">
      <w:pPr>
        <w:ind w:firstLine="720"/>
        <w:rPr>
          <w:rFonts w:hAnsi="Times New Roman" w:cs="Times New Roman"/>
          <w:color w:val="auto"/>
        </w:rPr>
      </w:pPr>
    </w:p>
    <w:p w14:paraId="501D9FA5" w14:textId="77777777" w:rsidR="00844DD5" w:rsidRDefault="00844DD5">
      <w:pPr>
        <w:ind w:firstLine="720"/>
        <w:rPr>
          <w:rFonts w:hAnsi="Times New Roman" w:cs="Times New Roman"/>
          <w:color w:val="auto"/>
        </w:rPr>
      </w:pPr>
    </w:p>
    <w:p w14:paraId="1B825A01" w14:textId="77777777" w:rsidR="00844DD5" w:rsidRDefault="00844DD5">
      <w:pPr>
        <w:ind w:firstLine="720"/>
        <w:rPr>
          <w:rFonts w:hAnsi="Times New Roman" w:cs="Times New Roman"/>
          <w:color w:val="auto"/>
        </w:rPr>
      </w:pPr>
    </w:p>
    <w:p w14:paraId="72C3A2C4" w14:textId="77777777" w:rsidR="007B7402" w:rsidRDefault="007B7402">
      <w:pPr>
        <w:ind w:firstLine="720"/>
        <w:rPr>
          <w:rFonts w:hAnsi="Times New Roman" w:cs="Times New Roman"/>
          <w:color w:val="auto"/>
        </w:rPr>
      </w:pPr>
    </w:p>
    <w:p w14:paraId="56482134" w14:textId="77777777" w:rsidR="00C058EA" w:rsidRDefault="00C058EA">
      <w:pPr>
        <w:ind w:firstLine="720"/>
        <w:rPr>
          <w:color w:val="auto"/>
        </w:rPr>
      </w:pPr>
    </w:p>
    <w:p w14:paraId="282EA63A" w14:textId="77777777" w:rsidR="00D11645" w:rsidRPr="00DD1543" w:rsidRDefault="00D11645" w:rsidP="00D11645">
      <w:pPr>
        <w:ind w:firstLine="720"/>
        <w:rPr>
          <w:rFonts w:hAnsi="Times New Roman" w:cs="Times New Roman"/>
          <w:color w:val="auto"/>
        </w:rPr>
      </w:pPr>
    </w:p>
    <w:sectPr w:rsidR="00D11645" w:rsidRPr="00DD1543" w:rsidSect="007F1F19">
      <w:headerReference w:type="even" r:id="rId8"/>
      <w:headerReference w:type="default" r:id="rId9"/>
      <w:pgSz w:w="12240" w:h="15840"/>
      <w:pgMar w:top="2016" w:right="2448" w:bottom="2016" w:left="2448" w:header="151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AC60" w14:textId="77777777" w:rsidR="00D76D1B" w:rsidRDefault="00D76D1B">
      <w:r>
        <w:separator/>
      </w:r>
    </w:p>
  </w:endnote>
  <w:endnote w:type="continuationSeparator" w:id="0">
    <w:p w14:paraId="0163F710" w14:textId="77777777" w:rsidR="00D76D1B" w:rsidRDefault="00D7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entury Schoolbook">
    <w:altName w:val="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F5DE" w14:textId="77777777" w:rsidR="00D76D1B" w:rsidRDefault="00D76D1B">
      <w:r>
        <w:separator/>
      </w:r>
    </w:p>
  </w:footnote>
  <w:footnote w:type="continuationSeparator" w:id="0">
    <w:p w14:paraId="1802D258" w14:textId="77777777" w:rsidR="00D76D1B" w:rsidRDefault="00D76D1B">
      <w:r>
        <w:continuationSeparator/>
      </w:r>
    </w:p>
  </w:footnote>
  <w:footnote w:type="continuationNotice" w:id="1">
    <w:p w14:paraId="6772ABDA" w14:textId="77777777" w:rsidR="00D76D1B" w:rsidRDefault="00D76D1B"/>
  </w:footnote>
  <w:footnote w:id="2">
    <w:p w14:paraId="2CAFA8CF" w14:textId="263574C6" w:rsidR="00E81370" w:rsidRPr="00016B9E" w:rsidRDefault="00E81370" w:rsidP="006B37DC">
      <w:r w:rsidRPr="00016B9E">
        <w:rPr>
          <w:i/>
          <w:iCs/>
          <w:vertAlign w:val="superscript"/>
        </w:rPr>
        <w:t>*</w:t>
      </w:r>
      <w:r w:rsidRPr="00016B9E">
        <w:t xml:space="preserve"> </w:t>
      </w:r>
      <w:r w:rsidRPr="009C4849">
        <w:rPr>
          <w:rFonts w:hAnsi="Times New Roman" w:cs="Times New Roman"/>
          <w:sz w:val="20"/>
          <w:szCs w:val="20"/>
        </w:rPr>
        <w:t xml:space="preserve">Don Weckstein Professor of Law, University of San Diego. Thanks to On Amir, Ann Bartow, </w:t>
      </w:r>
      <w:r w:rsidRPr="009C4849">
        <w:rPr>
          <w:rFonts w:hAnsi="Times New Roman" w:cs="Times New Roman"/>
          <w:color w:val="auto"/>
          <w:sz w:val="20"/>
          <w:szCs w:val="20"/>
        </w:rPr>
        <w:t xml:space="preserve">Yochai Benkler, Mario Biagoli, Michael Birnhack, </w:t>
      </w:r>
      <w:r w:rsidRPr="009C4849">
        <w:rPr>
          <w:sz w:val="20"/>
          <w:szCs w:val="20"/>
        </w:rPr>
        <w:t xml:space="preserve">Kiel Brennan-Marquez, </w:t>
      </w:r>
      <w:r w:rsidRPr="009C4849">
        <w:rPr>
          <w:rFonts w:hAnsi="Times New Roman" w:cs="Times New Roman"/>
          <w:color w:val="auto"/>
          <w:sz w:val="20"/>
          <w:szCs w:val="20"/>
        </w:rPr>
        <w:t xml:space="preserve">Rochelle Dreyfuss, Camilla Hrdy, Jeanne Fromer, Liz Glazer, Mark Lemley, Irina Manta, Mark McKenna, </w:t>
      </w:r>
      <w:r w:rsidRPr="009C4849">
        <w:rPr>
          <w:rFonts w:eastAsia="Times New Roman" w:hAnsi="Times New Roman" w:cs="Times New Roman"/>
          <w:color w:val="auto"/>
          <w:sz w:val="20"/>
          <w:szCs w:val="20"/>
        </w:rPr>
        <w:t xml:space="preserve">Laura Pedraza-Farina, Chris Sprigman, </w:t>
      </w:r>
      <w:r w:rsidRPr="009C4849">
        <w:rPr>
          <w:rFonts w:hAnsi="Times New Roman" w:cs="Times New Roman"/>
          <w:color w:val="auto"/>
          <w:sz w:val="20"/>
          <w:szCs w:val="20"/>
        </w:rPr>
        <w:t>Katherine Stramburg, and the participants of workshops at NYU, Stanford, Yale, Notre Dame, BYU, Hofstra, Tel-Aviv, Colorado, Denver, UBC and the IP Scholars Conference at UC-Berkeley. Thanks also to Hani Farah and Max Halpern for extraordinary research assistance.</w:t>
      </w:r>
      <w:r w:rsidRPr="00AC2EB8">
        <w:rPr>
          <w:color w:val="auto"/>
        </w:rPr>
        <w:t xml:space="preserve"> </w:t>
      </w:r>
    </w:p>
  </w:footnote>
  <w:footnote w:id="3">
    <w:p w14:paraId="69EBD773" w14:textId="7B2A6936" w:rsidR="00E81370" w:rsidRPr="00016B9E" w:rsidRDefault="00E81370" w:rsidP="009E7AF6">
      <w:pPr>
        <w:pStyle w:val="FootnoteText"/>
        <w:ind w:firstLine="0"/>
      </w:pPr>
      <w:r w:rsidRPr="00016B9E">
        <w:rPr>
          <w:vertAlign w:val="superscript"/>
        </w:rPr>
        <w:footnoteRef/>
      </w:r>
      <w:r w:rsidRPr="00016B9E">
        <w:t xml:space="preserve"> </w:t>
      </w:r>
      <w:r w:rsidRPr="009342B8">
        <w:t xml:space="preserve">Steven Greenhouse, </w:t>
      </w:r>
      <w:r w:rsidRPr="009342B8">
        <w:rPr>
          <w:i/>
          <w:iCs/>
        </w:rPr>
        <w:t>Noncompete Clauses Increasingly Pop Up in Array of Jobs</w:t>
      </w:r>
      <w:r w:rsidRPr="00EE09BC">
        <w:rPr>
          <w:i/>
          <w:iCs/>
        </w:rPr>
        <w:t>,</w:t>
      </w:r>
      <w:r w:rsidRPr="00EE09BC">
        <w:rPr>
          <w:iCs/>
        </w:rPr>
        <w:t xml:space="preserve"> N.Y. </w:t>
      </w:r>
      <w:r w:rsidRPr="006B37DC">
        <w:rPr>
          <w:smallCaps/>
        </w:rPr>
        <w:t>Times</w:t>
      </w:r>
      <w:r>
        <w:rPr>
          <w:iCs/>
        </w:rPr>
        <w:t xml:space="preserve">, </w:t>
      </w:r>
      <w:r w:rsidRPr="009342B8">
        <w:rPr>
          <w:iCs/>
        </w:rPr>
        <w:t>June 2014</w:t>
      </w:r>
      <w:r w:rsidRPr="00016B9E">
        <w:t>.</w:t>
      </w:r>
    </w:p>
  </w:footnote>
  <w:footnote w:id="4">
    <w:p w14:paraId="17B55735" w14:textId="77777777" w:rsidR="00E81370" w:rsidRPr="002610AF" w:rsidRDefault="00E81370" w:rsidP="002E0F60">
      <w:pPr>
        <w:pStyle w:val="FootnoteText"/>
        <w:ind w:firstLine="0"/>
      </w:pPr>
      <w:r w:rsidRPr="002610AF">
        <w:rPr>
          <w:vertAlign w:val="superscript"/>
        </w:rPr>
        <w:footnoteRef/>
      </w:r>
      <w:r w:rsidRPr="002610AF">
        <w:t xml:space="preserve"> Terry M</w:t>
      </w:r>
      <w:r>
        <w:t>.</w:t>
      </w:r>
      <w:r w:rsidRPr="002610AF">
        <w:t xml:space="preserve"> Dworkin &amp;</w:t>
      </w:r>
      <w:r>
        <w:t xml:space="preserve"> </w:t>
      </w:r>
      <w:r w:rsidRPr="002610AF">
        <w:t>Elletta</w:t>
      </w:r>
      <w:r>
        <w:t xml:space="preserve"> </w:t>
      </w:r>
      <w:r w:rsidRPr="002610AF">
        <w:t>S</w:t>
      </w:r>
      <w:r>
        <w:t>.</w:t>
      </w:r>
      <w:r w:rsidRPr="002610AF">
        <w:t xml:space="preserve"> Callahan, </w:t>
      </w:r>
      <w:r w:rsidRPr="002610AF">
        <w:rPr>
          <w:i/>
          <w:iCs/>
        </w:rPr>
        <w:t>Buying Silence</w:t>
      </w:r>
      <w:r w:rsidRPr="002610AF">
        <w:t xml:space="preserve">, 36 </w:t>
      </w:r>
      <w:r w:rsidRPr="002610AF">
        <w:rPr>
          <w:smallCaps/>
        </w:rPr>
        <w:t>AM. BUS. L.</w:t>
      </w:r>
      <w:r>
        <w:rPr>
          <w:smallCaps/>
        </w:rPr>
        <w:t xml:space="preserve"> </w:t>
      </w:r>
      <w:r w:rsidRPr="002610AF">
        <w:rPr>
          <w:smallCaps/>
        </w:rPr>
        <w:t>J</w:t>
      </w:r>
      <w:r w:rsidRPr="002610AF">
        <w:t>. 151 (1998).</w:t>
      </w:r>
    </w:p>
  </w:footnote>
  <w:footnote w:id="5">
    <w:p w14:paraId="22DF4C78" w14:textId="77777777" w:rsidR="00E81370" w:rsidRPr="00E76FCE" w:rsidRDefault="00E81370" w:rsidP="00E76FC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color w:val="auto"/>
          <w:bdr w:val="none" w:sz="0" w:space="0" w:color="auto"/>
        </w:rPr>
      </w:pPr>
      <w:r w:rsidRPr="00E76FCE">
        <w:rPr>
          <w:rStyle w:val="FootnoteReference"/>
          <w:rFonts w:hAnsi="Times New Roman"/>
          <w:sz w:val="20"/>
          <w:szCs w:val="20"/>
        </w:rPr>
        <w:footnoteRef/>
      </w:r>
      <w:r w:rsidRPr="00E76FCE">
        <w:rPr>
          <w:rFonts w:hAnsi="Times New Roman"/>
          <w:sz w:val="20"/>
          <w:szCs w:val="20"/>
        </w:rPr>
        <w:t xml:space="preserve"> </w:t>
      </w:r>
      <w:r w:rsidRPr="00EE09BC">
        <w:rPr>
          <w:rFonts w:eastAsia="Times New Roman" w:hAnsi="Times New Roman" w:cs="Times New Roman"/>
          <w:color w:val="auto"/>
          <w:sz w:val="20"/>
          <w:szCs w:val="20"/>
          <w:bdr w:val="none" w:sz="0" w:space="0" w:color="auto"/>
        </w:rPr>
        <w:t>Alice Corp. Pty. Ltd. v. CLS Bank Int'l</w:t>
      </w:r>
      <w:r w:rsidRPr="00E76FCE">
        <w:rPr>
          <w:rFonts w:eastAsia="Times New Roman" w:hAnsi="Times New Roman" w:cs="Times New Roman"/>
          <w:color w:val="auto"/>
          <w:sz w:val="20"/>
          <w:szCs w:val="20"/>
          <w:bdr w:val="none" w:sz="0" w:space="0" w:color="auto"/>
        </w:rPr>
        <w:t xml:space="preserve">, </w:t>
      </w:r>
      <w:r>
        <w:rPr>
          <w:rFonts w:eastAsia="Times New Roman" w:hAnsi="Times New Roman" w:cs="Times New Roman"/>
          <w:color w:val="auto"/>
          <w:sz w:val="20"/>
          <w:szCs w:val="20"/>
          <w:bdr w:val="none" w:sz="0" w:space="0" w:color="auto"/>
        </w:rPr>
        <w:t xml:space="preserve">134 S. Ct. 2347 (2014). </w:t>
      </w:r>
    </w:p>
  </w:footnote>
  <w:footnote w:id="6">
    <w:p w14:paraId="6B85649E" w14:textId="77777777" w:rsidR="00E81370" w:rsidRPr="00E76FCE" w:rsidRDefault="00E81370" w:rsidP="00E76FC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imes" w:hAnsi="Times"/>
          <w:color w:val="auto"/>
          <w:bdr w:val="none" w:sz="0" w:space="0" w:color="auto"/>
        </w:rPr>
      </w:pPr>
      <w:r w:rsidRPr="00E76FCE">
        <w:rPr>
          <w:rStyle w:val="FootnoteReference"/>
          <w:rFonts w:hAnsi="Times New Roman"/>
          <w:sz w:val="20"/>
          <w:szCs w:val="20"/>
        </w:rPr>
        <w:footnoteRef/>
      </w:r>
      <w:r>
        <w:rPr>
          <w:rFonts w:hAnsi="Times New Roman" w:cs="Times New Roman"/>
          <w:color w:val="auto"/>
        </w:rPr>
        <w:t xml:space="preserve"> </w:t>
      </w:r>
      <w:r w:rsidRPr="009E7721">
        <w:rPr>
          <w:rFonts w:hAnsi="Times New Roman" w:cs="Times New Roman"/>
          <w:color w:val="auto"/>
          <w:sz w:val="20"/>
          <w:szCs w:val="20"/>
        </w:rPr>
        <w:t xml:space="preserve">For example, in </w:t>
      </w:r>
      <w:r w:rsidRPr="009E7721">
        <w:rPr>
          <w:rFonts w:hAnsi="Times New Roman" w:cs="Times New Roman"/>
          <w:i/>
          <w:iCs/>
          <w:color w:val="auto"/>
          <w:sz w:val="20"/>
          <w:szCs w:val="20"/>
          <w:shd w:val="clear" w:color="auto" w:fill="FFFFFF"/>
        </w:rPr>
        <w:t>Harper &amp; Row Publishers, Inc. v. Nation Enterprises</w:t>
      </w:r>
      <w:r w:rsidRPr="009E7721">
        <w:rPr>
          <w:rFonts w:hAnsi="Times New Roman" w:cs="Times New Roman"/>
          <w:iCs/>
          <w:color w:val="auto"/>
          <w:sz w:val="20"/>
          <w:szCs w:val="20"/>
          <w:shd w:val="clear" w:color="auto" w:fill="FFFFFF"/>
        </w:rPr>
        <w:t>,</w:t>
      </w:r>
      <w:r w:rsidRPr="009E7721">
        <w:rPr>
          <w:rFonts w:hAnsi="Times New Roman" w:cs="Times New Roman"/>
          <w:color w:val="auto"/>
          <w:sz w:val="20"/>
          <w:szCs w:val="20"/>
          <w:shd w:val="clear" w:color="auto" w:fill="FFFFFF"/>
        </w:rPr>
        <w:t xml:space="preserve"> the Supreme Court stated that "copyright's idea/expression dichotomy 'strike[s] a definitional balance between the First Amendment and the Copyright Act by permitting free communication of facts while still protecting an author's expression.'"</w:t>
      </w:r>
      <w:r w:rsidRPr="009E7721">
        <w:rPr>
          <w:rFonts w:hAnsi="Times New Roman"/>
          <w:sz w:val="20"/>
          <w:szCs w:val="20"/>
        </w:rPr>
        <w:t xml:space="preserve"> </w:t>
      </w:r>
      <w:r w:rsidRPr="009E7721">
        <w:rPr>
          <w:rFonts w:eastAsia="Times New Roman" w:hAnsi="Times New Roman" w:cs="Times New Roman"/>
          <w:color w:val="auto"/>
          <w:sz w:val="20"/>
          <w:szCs w:val="20"/>
          <w:bdr w:val="none" w:sz="0" w:space="0" w:color="auto"/>
        </w:rPr>
        <w:t>Harper &amp; Row Publishers, Inc. v. Nation Enters., 471 U.S. 539, 556 (1985).</w:t>
      </w:r>
    </w:p>
  </w:footnote>
  <w:footnote w:id="7">
    <w:p w14:paraId="7771F71C" w14:textId="77777777" w:rsidR="00E81370" w:rsidRPr="000D4227" w:rsidRDefault="00E81370" w:rsidP="005F1FDE">
      <w:pPr>
        <w:pStyle w:val="FootnoteText"/>
        <w:ind w:firstLine="0"/>
      </w:pPr>
      <w:r w:rsidRPr="000D4227">
        <w:rPr>
          <w:rStyle w:val="FootnoteReference"/>
        </w:rPr>
        <w:footnoteRef/>
      </w:r>
      <w:r w:rsidRPr="000D4227">
        <w:t xml:space="preserve"> </w:t>
      </w:r>
      <w:hyperlink r:id="rId1" w:history="1">
        <w:r w:rsidRPr="000D4227">
          <w:rPr>
            <w:rStyle w:val="Hyperlink"/>
            <w:u w:val="none"/>
            <w:bdr w:val="none" w:sz="0" w:space="0" w:color="auto" w:frame="1"/>
          </w:rPr>
          <w:t>Josh Bersin</w:t>
        </w:r>
      </w:hyperlink>
      <w:r w:rsidRPr="000D4227">
        <w:t xml:space="preserve">, </w:t>
      </w:r>
      <w:r w:rsidRPr="00E76FCE">
        <w:rPr>
          <w:i/>
        </w:rPr>
        <w:t xml:space="preserve">The Year of the </w:t>
      </w:r>
      <w:r w:rsidRPr="00E76FCE">
        <w:rPr>
          <w:i/>
          <w:color w:val="auto"/>
        </w:rPr>
        <w:t>Employee: Predictions For Talent, Leadership, And HR Technology</w:t>
      </w:r>
      <w:r>
        <w:rPr>
          <w:color w:val="auto"/>
        </w:rPr>
        <w:t>,</w:t>
      </w:r>
      <w:r w:rsidRPr="000D4227">
        <w:rPr>
          <w:color w:val="auto"/>
        </w:rPr>
        <w:t xml:space="preserve"> </w:t>
      </w:r>
      <w:r w:rsidRPr="009342B8">
        <w:rPr>
          <w:smallCaps/>
          <w:color w:val="auto"/>
        </w:rPr>
        <w:t>Forbes</w:t>
      </w:r>
      <w:r>
        <w:rPr>
          <w:color w:val="auto"/>
        </w:rPr>
        <w:t xml:space="preserve">, December 19, 2013.  </w:t>
      </w:r>
    </w:p>
  </w:footnote>
  <w:footnote w:id="8">
    <w:p w14:paraId="6A21D4CC" w14:textId="77777777" w:rsidR="00E81370" w:rsidRPr="00016B9E" w:rsidRDefault="00E81370">
      <w:pPr>
        <w:pStyle w:val="FootnoteText"/>
        <w:ind w:firstLine="0"/>
      </w:pPr>
      <w:r w:rsidRPr="00016B9E">
        <w:rPr>
          <w:vertAlign w:val="superscript"/>
        </w:rPr>
        <w:footnoteRef/>
      </w:r>
      <w:r>
        <w:rPr>
          <w:color w:val="222222"/>
          <w:u w:color="222222"/>
        </w:rPr>
        <w:t xml:space="preserve"> </w:t>
      </w:r>
      <w:r w:rsidRPr="009342B8">
        <w:rPr>
          <w:smallCaps/>
          <w:color w:val="222222"/>
          <w:u w:color="222222"/>
        </w:rPr>
        <w:t>Elinor Ostrom &amp; Charlotte Hess</w:t>
      </w:r>
      <w:r w:rsidRPr="00ED542C">
        <w:rPr>
          <w:color w:val="222222"/>
          <w:u w:color="222222"/>
        </w:rPr>
        <w:t xml:space="preserve">, </w:t>
      </w:r>
      <w:r w:rsidRPr="009342B8">
        <w:rPr>
          <w:smallCaps/>
          <w:color w:val="222222"/>
          <w:u w:color="222222"/>
        </w:rPr>
        <w:t>Understanding Knowledge as a Commons: From Theory to Practice</w:t>
      </w:r>
      <w:r>
        <w:rPr>
          <w:color w:val="222222"/>
          <w:u w:color="222222"/>
        </w:rPr>
        <w:t xml:space="preserve"> </w:t>
      </w:r>
      <w:r w:rsidRPr="00ED542C">
        <w:t>(2006).</w:t>
      </w:r>
    </w:p>
  </w:footnote>
  <w:footnote w:id="9">
    <w:p w14:paraId="2EED780B" w14:textId="77777777" w:rsidR="00E81370" w:rsidRPr="00DE52A3" w:rsidRDefault="00E81370" w:rsidP="004C60E2">
      <w:pPr>
        <w:pStyle w:val="FootnoteText"/>
        <w:ind w:firstLine="0"/>
      </w:pPr>
      <w:r w:rsidRPr="00DE52A3">
        <w:rPr>
          <w:rStyle w:val="FootnoteReference"/>
        </w:rPr>
        <w:footnoteRef/>
      </w:r>
      <w:r w:rsidRPr="00DE52A3">
        <w:t xml:space="preserve"> </w:t>
      </w:r>
      <w:r w:rsidRPr="009342B8">
        <w:rPr>
          <w:smallCaps/>
        </w:rPr>
        <w:t>Ed</w:t>
      </w:r>
      <w:r w:rsidRPr="009342B8">
        <w:rPr>
          <w:rFonts w:cs="Arial"/>
          <w:smallCaps/>
          <w:color w:val="252525"/>
        </w:rPr>
        <w:t>ward C. Walterscheid</w:t>
      </w:r>
      <w:r w:rsidRPr="00DE52A3">
        <w:rPr>
          <w:rFonts w:cs="Arial"/>
          <w:color w:val="252525"/>
        </w:rPr>
        <w:t xml:space="preserve">, </w:t>
      </w:r>
      <w:r w:rsidRPr="009342B8">
        <w:rPr>
          <w:rFonts w:cs="Arial"/>
          <w:smallCaps/>
          <w:color w:val="252525"/>
        </w:rPr>
        <w:t xml:space="preserve">The Nature of the </w:t>
      </w:r>
      <w:r w:rsidRPr="009342B8">
        <w:rPr>
          <w:rStyle w:val="cosearchterm"/>
          <w:rFonts w:cs="Arial"/>
          <w:bCs/>
          <w:smallCaps/>
          <w:color w:val="252525"/>
        </w:rPr>
        <w:t>Intellectual</w:t>
      </w:r>
      <w:r w:rsidRPr="009342B8">
        <w:rPr>
          <w:rStyle w:val="apple-converted-space"/>
          <w:rFonts w:cs="Arial"/>
          <w:smallCaps/>
          <w:color w:val="252525"/>
        </w:rPr>
        <w:t> </w:t>
      </w:r>
      <w:r w:rsidRPr="009342B8">
        <w:rPr>
          <w:rStyle w:val="cosearchterm"/>
          <w:rFonts w:cs="Arial"/>
          <w:bCs/>
          <w:smallCaps/>
          <w:color w:val="252525"/>
        </w:rPr>
        <w:t>Property</w:t>
      </w:r>
      <w:r w:rsidRPr="009342B8">
        <w:rPr>
          <w:rStyle w:val="apple-converted-space"/>
          <w:rFonts w:cs="Arial"/>
          <w:smallCaps/>
          <w:color w:val="252525"/>
        </w:rPr>
        <w:t> </w:t>
      </w:r>
      <w:r w:rsidRPr="009342B8">
        <w:rPr>
          <w:rFonts w:cs="Arial"/>
          <w:smallCaps/>
          <w:color w:val="252525"/>
        </w:rPr>
        <w:t xml:space="preserve">Clause: A Study in Historical Perspective </w:t>
      </w:r>
      <w:r w:rsidRPr="00DE52A3">
        <w:rPr>
          <w:rFonts w:cs="Arial"/>
          <w:color w:val="252525"/>
        </w:rPr>
        <w:t>(2002).</w:t>
      </w:r>
    </w:p>
  </w:footnote>
  <w:footnote w:id="10">
    <w:p w14:paraId="672300FB" w14:textId="77777777" w:rsidR="00E81370" w:rsidRPr="00DE52A3" w:rsidRDefault="00E81370">
      <w:pPr>
        <w:pStyle w:val="FootnoteText"/>
        <w:ind w:firstLine="0"/>
      </w:pPr>
      <w:r w:rsidRPr="00DE52A3">
        <w:rPr>
          <w:vertAlign w:val="superscript"/>
        </w:rPr>
        <w:footnoteRef/>
      </w:r>
      <w:r w:rsidRPr="00DE52A3">
        <w:rPr>
          <w:color w:val="252525"/>
          <w:u w:color="252525"/>
          <w:shd w:val="clear" w:color="auto" w:fill="FFFFFF"/>
        </w:rPr>
        <w:t xml:space="preserve"> </w:t>
      </w:r>
      <w:r w:rsidRPr="009342B8">
        <w:rPr>
          <w:smallCaps/>
          <w:color w:val="252525"/>
          <w:u w:color="252525"/>
          <w:shd w:val="clear" w:color="auto" w:fill="FFFFFF"/>
        </w:rPr>
        <w:t>Brad Sherman &amp; Lionel Bently</w:t>
      </w:r>
      <w:r w:rsidRPr="00DE52A3">
        <w:rPr>
          <w:color w:val="252525"/>
          <w:u w:color="252525"/>
          <w:shd w:val="clear" w:color="auto" w:fill="FFFFFF"/>
        </w:rPr>
        <w:t xml:space="preserve">, </w:t>
      </w:r>
      <w:r w:rsidRPr="009342B8">
        <w:rPr>
          <w:smallCaps/>
          <w:color w:val="252525"/>
          <w:u w:color="252525"/>
          <w:shd w:val="clear" w:color="auto" w:fill="FFFFFF"/>
        </w:rPr>
        <w:t xml:space="preserve">The Making of Modern Intellectual Property Law: The British Experience 1760-1911 </w:t>
      </w:r>
      <w:r w:rsidRPr="00DE52A3">
        <w:rPr>
          <w:color w:val="252525"/>
          <w:u w:color="252525"/>
          <w:shd w:val="clear" w:color="auto" w:fill="FFFFFF"/>
        </w:rPr>
        <w:t>(Cambridge University Press 1999).</w:t>
      </w:r>
    </w:p>
  </w:footnote>
  <w:footnote w:id="11">
    <w:p w14:paraId="44E985DC" w14:textId="77777777" w:rsidR="00E81370" w:rsidRPr="00DE52A3" w:rsidRDefault="00E81370">
      <w:pPr>
        <w:pStyle w:val="FootnoteText"/>
        <w:ind w:firstLine="0"/>
      </w:pPr>
      <w:r w:rsidRPr="00DE52A3">
        <w:rPr>
          <w:vertAlign w:val="superscript"/>
        </w:rPr>
        <w:footnoteRef/>
      </w:r>
      <w:r w:rsidRPr="00DE52A3">
        <w:t xml:space="preserve"> Letter from Thomas Jefferson to Isaac McPherson, August 13, 1813, </w:t>
      </w:r>
      <w:r w:rsidRPr="00DE52A3">
        <w:rPr>
          <w:i/>
        </w:rPr>
        <w:t xml:space="preserve">in </w:t>
      </w:r>
      <w:r w:rsidRPr="00DE52A3">
        <w:rPr>
          <w:i/>
          <w:iCs/>
        </w:rPr>
        <w:t>The Complete Jefferson</w:t>
      </w:r>
      <w:r w:rsidRPr="00DE52A3">
        <w:t xml:space="preserve">, ed. Saul K. Padover, 1011, 1015 (New York: Duell, Sloan, and Pearce, 1943).  </w:t>
      </w:r>
    </w:p>
  </w:footnote>
  <w:footnote w:id="12">
    <w:p w14:paraId="4DC1193F" w14:textId="77777777" w:rsidR="00E81370" w:rsidRPr="00DE52A3" w:rsidRDefault="00E81370">
      <w:pPr>
        <w:pStyle w:val="FootnoteText"/>
        <w:ind w:firstLine="0"/>
      </w:pPr>
      <w:r w:rsidRPr="00DE52A3">
        <w:rPr>
          <w:vertAlign w:val="superscript"/>
        </w:rPr>
        <w:footnoteRef/>
      </w:r>
      <w:r w:rsidRPr="00DE52A3">
        <w:t xml:space="preserve"> Andrew Beckerman-Rodau, </w:t>
      </w:r>
      <w:r w:rsidRPr="00DE52A3">
        <w:rPr>
          <w:i/>
          <w:iCs/>
        </w:rPr>
        <w:t>The Problem with Intellectual Property Rights: Subject Matter Expansion</w:t>
      </w:r>
      <w:r w:rsidRPr="00DE52A3">
        <w:t xml:space="preserve">, 3 </w:t>
      </w:r>
      <w:r w:rsidRPr="00DE52A3">
        <w:rPr>
          <w:smallCaps/>
        </w:rPr>
        <w:t>Yale J.L. &amp; Tech.</w:t>
      </w:r>
      <w:r w:rsidRPr="00DE52A3">
        <w:t xml:space="preserve"> 35 (2011).</w:t>
      </w:r>
    </w:p>
  </w:footnote>
  <w:footnote w:id="13">
    <w:p w14:paraId="03F254F1" w14:textId="77777777" w:rsidR="00E81370" w:rsidRPr="00DE52A3" w:rsidRDefault="00E81370">
      <w:pPr>
        <w:pStyle w:val="FootnoteText"/>
        <w:ind w:firstLine="0"/>
      </w:pPr>
      <w:r w:rsidRPr="00DE52A3">
        <w:rPr>
          <w:vertAlign w:val="superscript"/>
        </w:rPr>
        <w:footnoteRef/>
      </w:r>
      <w:r w:rsidRPr="00DE52A3">
        <w:rPr>
          <w:i/>
          <w:iCs/>
        </w:rPr>
        <w:t xml:space="preserve"> See generally</w:t>
      </w:r>
      <w:r w:rsidRPr="00DE52A3">
        <w:t xml:space="preserve">, three recent articles on patent subject matter eligibility. </w:t>
      </w:r>
    </w:p>
  </w:footnote>
  <w:footnote w:id="14">
    <w:p w14:paraId="02B146DF" w14:textId="77777777" w:rsidR="00E81370" w:rsidRPr="00DE52A3" w:rsidRDefault="00E81370" w:rsidP="00375C2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rFonts w:hAnsi="Times New Roman"/>
          <w:color w:val="auto"/>
          <w:sz w:val="20"/>
          <w:szCs w:val="20"/>
          <w:bdr w:val="none" w:sz="0" w:space="0" w:color="auto"/>
        </w:rPr>
      </w:pPr>
      <w:r w:rsidRPr="00DE52A3">
        <w:rPr>
          <w:rFonts w:hAnsi="Times New Roman"/>
          <w:sz w:val="20"/>
          <w:szCs w:val="20"/>
          <w:vertAlign w:val="superscript"/>
        </w:rPr>
        <w:footnoteRef/>
      </w:r>
      <w:r w:rsidRPr="00DE52A3">
        <w:rPr>
          <w:rFonts w:hAnsi="Times New Roman"/>
          <w:sz w:val="20"/>
          <w:szCs w:val="20"/>
        </w:rPr>
        <w:t xml:space="preserve"> </w:t>
      </w:r>
      <w:r w:rsidRPr="00DE52A3">
        <w:rPr>
          <w:rFonts w:eastAsia="Times New Roman" w:hAnsi="Times New Roman" w:cs="Times New Roman"/>
          <w:sz w:val="20"/>
          <w:szCs w:val="20"/>
        </w:rPr>
        <w:t>Sonny Bono Copyright Term Extension Act, Pub. L. No. 105-298, Stat. 2827 (1998)</w:t>
      </w:r>
      <w:r>
        <w:rPr>
          <w:rFonts w:eastAsia="Times New Roman" w:hAnsi="Times New Roman" w:cs="Times New Roman"/>
          <w:sz w:val="20"/>
          <w:szCs w:val="20"/>
        </w:rPr>
        <w:t xml:space="preserve"> </w:t>
      </w:r>
      <w:r w:rsidRPr="00DE52A3">
        <w:rPr>
          <w:rFonts w:eastAsia="Times New Roman" w:hAnsi="Times New Roman" w:cs="Times New Roman"/>
          <w:sz w:val="20"/>
          <w:szCs w:val="20"/>
        </w:rPr>
        <w:t xml:space="preserve">(codified at 17 U.S.C. §§ 108, 203, 301-304); </w:t>
      </w:r>
      <w:r w:rsidRPr="00DE52A3">
        <w:rPr>
          <w:rFonts w:eastAsia="Times New Roman" w:hAnsi="Times New Roman" w:cs="Times New Roman"/>
          <w:color w:val="auto"/>
          <w:sz w:val="20"/>
          <w:szCs w:val="20"/>
          <w:bdr w:val="none" w:sz="0" w:space="0" w:color="auto"/>
        </w:rPr>
        <w:t xml:space="preserve">Andrew Beckerman-Rodau, </w:t>
      </w:r>
      <w:r w:rsidRPr="00DE52A3">
        <w:rPr>
          <w:rFonts w:eastAsia="Times New Roman" w:hAnsi="Times New Roman" w:cs="Times New Roman"/>
          <w:i/>
          <w:color w:val="auto"/>
          <w:sz w:val="20"/>
          <w:szCs w:val="20"/>
          <w:bdr w:val="none" w:sz="0" w:space="0" w:color="auto"/>
        </w:rPr>
        <w:t>The Problem with Intellectual Property Rights: Subject Matter Expansion</w:t>
      </w:r>
      <w:r w:rsidRPr="00DE52A3">
        <w:rPr>
          <w:rFonts w:eastAsia="Times New Roman" w:hAnsi="Times New Roman" w:cs="Times New Roman"/>
          <w:color w:val="auto"/>
          <w:sz w:val="20"/>
          <w:szCs w:val="20"/>
          <w:bdr w:val="none" w:sz="0" w:space="0" w:color="auto"/>
        </w:rPr>
        <w:t xml:space="preserve">, 13 </w:t>
      </w:r>
      <w:r w:rsidRPr="009342B8">
        <w:rPr>
          <w:rFonts w:eastAsia="Times New Roman" w:hAnsi="Times New Roman" w:cs="Times New Roman"/>
          <w:smallCaps/>
          <w:color w:val="auto"/>
          <w:sz w:val="20"/>
          <w:szCs w:val="20"/>
          <w:bdr w:val="none" w:sz="0" w:space="0" w:color="auto"/>
        </w:rPr>
        <w:t>Yale</w:t>
      </w:r>
      <w:r>
        <w:rPr>
          <w:rFonts w:eastAsia="Times New Roman" w:hAnsi="Times New Roman" w:cs="Times New Roman"/>
          <w:smallCaps/>
          <w:color w:val="auto"/>
          <w:sz w:val="20"/>
          <w:szCs w:val="20"/>
          <w:bdr w:val="none" w:sz="0" w:space="0" w:color="auto"/>
        </w:rPr>
        <w:t xml:space="preserve"> </w:t>
      </w:r>
      <w:r w:rsidRPr="009342B8">
        <w:rPr>
          <w:rFonts w:eastAsia="Times New Roman" w:hAnsi="Times New Roman" w:cs="Times New Roman"/>
          <w:smallCaps/>
          <w:color w:val="auto"/>
          <w:sz w:val="20"/>
          <w:szCs w:val="20"/>
          <w:bdr w:val="none" w:sz="0" w:space="0" w:color="auto"/>
        </w:rPr>
        <w:t>J.L. &amp; Tech</w:t>
      </w:r>
      <w:r w:rsidRPr="00DE52A3">
        <w:rPr>
          <w:rFonts w:eastAsia="Times New Roman" w:hAnsi="Times New Roman" w:cs="Times New Roman"/>
          <w:color w:val="auto"/>
          <w:sz w:val="20"/>
          <w:szCs w:val="20"/>
          <w:bdr w:val="none" w:sz="0" w:space="0" w:color="auto"/>
        </w:rPr>
        <w:t xml:space="preserve">. 36, 63 (2011). </w:t>
      </w:r>
    </w:p>
  </w:footnote>
  <w:footnote w:id="15">
    <w:p w14:paraId="65F877A8" w14:textId="77777777" w:rsidR="00E81370" w:rsidRPr="00806069" w:rsidRDefault="00E81370" w:rsidP="00375C2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rFonts w:hAnsi="Times New Roman"/>
          <w:color w:val="auto"/>
          <w:sz w:val="20"/>
          <w:szCs w:val="20"/>
          <w:bdr w:val="none" w:sz="0" w:space="0" w:color="auto"/>
        </w:rPr>
      </w:pPr>
      <w:r w:rsidRPr="00DE52A3">
        <w:rPr>
          <w:rFonts w:hAnsi="Times New Roman"/>
          <w:sz w:val="20"/>
          <w:szCs w:val="20"/>
          <w:vertAlign w:val="superscript"/>
        </w:rPr>
        <w:footnoteRef/>
      </w:r>
      <w:r w:rsidRPr="00DE52A3">
        <w:rPr>
          <w:rFonts w:hAnsi="Times New Roman"/>
          <w:sz w:val="20"/>
          <w:szCs w:val="20"/>
        </w:rPr>
        <w:t xml:space="preserve"> </w:t>
      </w:r>
      <w:r w:rsidRPr="00DE52A3">
        <w:rPr>
          <w:rFonts w:eastAsia="Times New Roman" w:hAnsi="Times New Roman" w:cs="Times New Roman"/>
          <w:color w:val="auto"/>
          <w:sz w:val="20"/>
          <w:szCs w:val="20"/>
          <w:bdr w:val="none" w:sz="0" w:space="0" w:color="auto"/>
        </w:rPr>
        <w:t xml:space="preserve">Mark A. Lemley &amp; Mark McKenna, </w:t>
      </w:r>
      <w:r w:rsidRPr="00DE52A3">
        <w:rPr>
          <w:rFonts w:eastAsia="Times New Roman" w:hAnsi="Times New Roman" w:cs="Times New Roman"/>
          <w:i/>
          <w:color w:val="auto"/>
          <w:sz w:val="20"/>
          <w:szCs w:val="20"/>
          <w:bdr w:val="none" w:sz="0" w:space="0" w:color="auto"/>
        </w:rPr>
        <w:t>Irrelevant Confusion</w:t>
      </w:r>
      <w:r w:rsidRPr="00DE52A3">
        <w:rPr>
          <w:rFonts w:eastAsia="Times New Roman" w:hAnsi="Times New Roman" w:cs="Times New Roman"/>
          <w:color w:val="auto"/>
          <w:sz w:val="20"/>
          <w:szCs w:val="20"/>
          <w:bdr w:val="none" w:sz="0" w:space="0" w:color="auto"/>
        </w:rPr>
        <w:t xml:space="preserve">, 62 </w:t>
      </w:r>
      <w:r w:rsidRPr="009342B8">
        <w:rPr>
          <w:rFonts w:eastAsia="Times New Roman" w:hAnsi="Times New Roman" w:cs="Times New Roman"/>
          <w:smallCaps/>
          <w:color w:val="auto"/>
          <w:sz w:val="20"/>
          <w:szCs w:val="20"/>
          <w:bdr w:val="none" w:sz="0" w:space="0" w:color="auto"/>
        </w:rPr>
        <w:t>Stan. L. Rev</w:t>
      </w:r>
      <w:r w:rsidRPr="00DE52A3">
        <w:rPr>
          <w:rFonts w:eastAsia="Times New Roman" w:hAnsi="Times New Roman" w:cs="Times New Roman"/>
          <w:color w:val="auto"/>
          <w:sz w:val="20"/>
          <w:szCs w:val="20"/>
          <w:bdr w:val="none" w:sz="0" w:space="0" w:color="auto"/>
        </w:rPr>
        <w:t xml:space="preserve">. 413 (2010); Michael A. Johnson, </w:t>
      </w:r>
      <w:r w:rsidRPr="00DE52A3">
        <w:rPr>
          <w:rFonts w:eastAsia="Times New Roman" w:hAnsi="Times New Roman" w:cs="Times New Roman"/>
          <w:i/>
          <w:color w:val="auto"/>
          <w:sz w:val="20"/>
          <w:szCs w:val="20"/>
          <w:bdr w:val="none" w:sz="0" w:space="0" w:color="auto"/>
        </w:rPr>
        <w:t>The Waning Consumer Protection Rationale of Trademark Law:</w:t>
      </w:r>
      <w:r w:rsidRPr="00AB2860">
        <w:rPr>
          <w:rFonts w:eastAsia="Times New Roman" w:hAnsi="Times New Roman" w:cs="Times New Roman"/>
          <w:i/>
          <w:color w:val="auto"/>
          <w:sz w:val="20"/>
          <w:szCs w:val="20"/>
          <w:bdr w:val="none" w:sz="0" w:space="0" w:color="auto"/>
        </w:rPr>
        <w:t xml:space="preserve"> </w:t>
      </w:r>
      <w:r w:rsidRPr="00806069">
        <w:rPr>
          <w:rFonts w:eastAsia="Times New Roman" w:hAnsi="Times New Roman" w:cs="Times New Roman"/>
          <w:i/>
          <w:color w:val="auto"/>
          <w:sz w:val="20"/>
          <w:szCs w:val="20"/>
          <w:bdr w:val="none" w:sz="0" w:space="0" w:color="auto"/>
        </w:rPr>
        <w:t>Overprotective Courts and the Path to Stifling Post-Sale Consumer Use,</w:t>
      </w:r>
      <w:r w:rsidRPr="00806069">
        <w:rPr>
          <w:rFonts w:eastAsia="Times New Roman" w:hAnsi="Times New Roman" w:cs="Times New Roman"/>
          <w:color w:val="auto"/>
          <w:sz w:val="20"/>
          <w:szCs w:val="20"/>
          <w:bdr w:val="none" w:sz="0" w:space="0" w:color="auto"/>
        </w:rPr>
        <w:t xml:space="preserve"> 101 </w:t>
      </w:r>
      <w:r w:rsidRPr="009342B8">
        <w:rPr>
          <w:rFonts w:eastAsia="Times New Roman" w:hAnsi="Times New Roman" w:cs="Times New Roman"/>
          <w:smallCaps/>
          <w:color w:val="auto"/>
          <w:sz w:val="20"/>
          <w:szCs w:val="20"/>
          <w:bdr w:val="none" w:sz="0" w:space="0" w:color="auto"/>
        </w:rPr>
        <w:t>Trademark Rep.</w:t>
      </w:r>
      <w:r w:rsidRPr="00806069">
        <w:rPr>
          <w:rFonts w:eastAsia="Times New Roman" w:hAnsi="Times New Roman" w:cs="Times New Roman"/>
          <w:color w:val="auto"/>
          <w:sz w:val="20"/>
          <w:szCs w:val="20"/>
          <w:bdr w:val="none" w:sz="0" w:space="0" w:color="auto"/>
        </w:rPr>
        <w:t xml:space="preserve"> 1320 (2011); </w:t>
      </w:r>
      <w:r w:rsidRPr="00806069">
        <w:rPr>
          <w:rFonts w:eastAsia="Times New Roman" w:hAnsi="Times New Roman" w:cs="Times New Roman"/>
          <w:i/>
          <w:color w:val="auto"/>
          <w:sz w:val="20"/>
          <w:szCs w:val="20"/>
          <w:bdr w:val="none" w:sz="0" w:space="0" w:color="auto"/>
        </w:rPr>
        <w:t>The Devil Wears Trademark: How the Fashion Industry Has Expanded Trademark Doctrine to Its Detriment</w:t>
      </w:r>
      <w:r w:rsidRPr="00806069">
        <w:rPr>
          <w:rFonts w:eastAsia="Times New Roman" w:hAnsi="Times New Roman" w:cs="Times New Roman"/>
          <w:color w:val="auto"/>
          <w:sz w:val="20"/>
          <w:szCs w:val="20"/>
          <w:bdr w:val="none" w:sz="0" w:space="0" w:color="auto"/>
        </w:rPr>
        <w:t xml:space="preserve">, 127 </w:t>
      </w:r>
      <w:r w:rsidRPr="009342B8">
        <w:rPr>
          <w:rFonts w:eastAsia="Times New Roman" w:hAnsi="Times New Roman" w:cs="Times New Roman"/>
          <w:smallCaps/>
          <w:color w:val="auto"/>
          <w:sz w:val="20"/>
          <w:szCs w:val="20"/>
          <w:bdr w:val="none" w:sz="0" w:space="0" w:color="auto"/>
        </w:rPr>
        <w:t>Harv. L. Rev.</w:t>
      </w:r>
      <w:r w:rsidRPr="00806069">
        <w:rPr>
          <w:rFonts w:eastAsia="Times New Roman" w:hAnsi="Times New Roman" w:cs="Times New Roman"/>
          <w:color w:val="auto"/>
          <w:sz w:val="20"/>
          <w:szCs w:val="20"/>
          <w:bdr w:val="none" w:sz="0" w:space="0" w:color="auto"/>
        </w:rPr>
        <w:t xml:space="preserve"> 995 (2014). </w:t>
      </w:r>
    </w:p>
  </w:footnote>
  <w:footnote w:id="16">
    <w:p w14:paraId="08134D0A" w14:textId="77777777" w:rsidR="00E81370" w:rsidRPr="00806069" w:rsidRDefault="00E81370" w:rsidP="004C60E2">
      <w:pPr>
        <w:pStyle w:val="FootnoteText"/>
        <w:ind w:firstLine="0"/>
      </w:pPr>
      <w:r w:rsidRPr="00806069">
        <w:rPr>
          <w:vertAlign w:val="superscript"/>
        </w:rPr>
        <w:footnoteRef/>
      </w:r>
      <w:r w:rsidRPr="00806069">
        <w:t xml:space="preserve"> Orly Lobel, </w:t>
      </w:r>
      <w:r w:rsidRPr="00806069">
        <w:rPr>
          <w:i/>
          <w:iCs/>
        </w:rPr>
        <w:t>Filing a Patent Versus Keeping Your Invention a Trade Secret</w:t>
      </w:r>
      <w:r w:rsidRPr="00806069">
        <w:t xml:space="preserve">, </w:t>
      </w:r>
      <w:r w:rsidRPr="00806069">
        <w:rPr>
          <w:smallCaps/>
        </w:rPr>
        <w:t>Harv. Bus. Rev</w:t>
      </w:r>
      <w:r w:rsidRPr="00806069">
        <w:t>. (2013).</w:t>
      </w:r>
    </w:p>
  </w:footnote>
  <w:footnote w:id="17">
    <w:p w14:paraId="677F3D6A" w14:textId="77777777" w:rsidR="00E81370" w:rsidRPr="00806069" w:rsidRDefault="00E81370">
      <w:pPr>
        <w:pStyle w:val="FootnoteText"/>
        <w:ind w:firstLine="0"/>
      </w:pPr>
      <w:r w:rsidRPr="00806069">
        <w:rPr>
          <w:vertAlign w:val="superscript"/>
        </w:rPr>
        <w:footnoteRef/>
      </w:r>
      <w:r w:rsidRPr="00806069">
        <w:t xml:space="preserve"> Nancy Gallini &amp; Suzanne Scotchmer, </w:t>
      </w:r>
      <w:r w:rsidRPr="00806069">
        <w:rPr>
          <w:i/>
          <w:iCs/>
        </w:rPr>
        <w:t>Intellectual Property: When is it the Best Incentive System?</w:t>
      </w:r>
      <w:r w:rsidRPr="00806069">
        <w:t xml:space="preserve">, 2 </w:t>
      </w:r>
      <w:r w:rsidRPr="00806069">
        <w:rPr>
          <w:smallCaps/>
        </w:rPr>
        <w:t>Innovation Pol’y and the Econ.</w:t>
      </w:r>
      <w:r w:rsidRPr="00806069">
        <w:t xml:space="preserve"> 51-78 (2002).</w:t>
      </w:r>
    </w:p>
  </w:footnote>
  <w:footnote w:id="18">
    <w:p w14:paraId="176401F9" w14:textId="77777777" w:rsidR="00E81370" w:rsidRPr="00806069" w:rsidRDefault="00E81370" w:rsidP="00375C2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hAnsi="Times New Roman" w:cs="Times New Roman"/>
          <w:color w:val="auto"/>
          <w:sz w:val="20"/>
          <w:szCs w:val="20"/>
          <w:bdr w:val="none" w:sz="0" w:space="0" w:color="auto"/>
        </w:rPr>
      </w:pPr>
      <w:r w:rsidRPr="00806069">
        <w:rPr>
          <w:rFonts w:hAnsi="Times New Roman"/>
          <w:sz w:val="20"/>
          <w:szCs w:val="20"/>
          <w:vertAlign w:val="superscript"/>
        </w:rPr>
        <w:footnoteRef/>
      </w:r>
      <w:r w:rsidRPr="00806069">
        <w:rPr>
          <w:rFonts w:hAnsi="Times New Roman"/>
          <w:sz w:val="20"/>
          <w:szCs w:val="20"/>
        </w:rPr>
        <w:t xml:space="preserve"> Gaia Bernstein, </w:t>
      </w:r>
      <w:r w:rsidRPr="00806069">
        <w:rPr>
          <w:rFonts w:hAnsi="Times New Roman"/>
          <w:i/>
          <w:iCs/>
          <w:sz w:val="20"/>
          <w:szCs w:val="20"/>
        </w:rPr>
        <w:t>In the Shadow of Innovation</w:t>
      </w:r>
      <w:r w:rsidRPr="00806069">
        <w:rPr>
          <w:rFonts w:hAnsi="Times New Roman"/>
          <w:sz w:val="20"/>
          <w:szCs w:val="20"/>
        </w:rPr>
        <w:t xml:space="preserve">, 31 </w:t>
      </w:r>
      <w:r w:rsidRPr="00806069">
        <w:rPr>
          <w:rFonts w:hAnsi="Times New Roman"/>
          <w:smallCaps/>
          <w:sz w:val="20"/>
          <w:szCs w:val="20"/>
        </w:rPr>
        <w:t>Cardozo L. Rev.</w:t>
      </w:r>
      <w:r w:rsidRPr="00806069">
        <w:rPr>
          <w:rFonts w:hAnsi="Times New Roman"/>
          <w:sz w:val="20"/>
          <w:szCs w:val="20"/>
        </w:rPr>
        <w:t xml:space="preserve"> 2257 (2010). </w:t>
      </w:r>
      <w:r w:rsidRPr="00806069">
        <w:rPr>
          <w:rFonts w:eastAsia="Times New Roman" w:hAnsi="Times New Roman" w:cs="Times New Roman"/>
          <w:color w:val="auto"/>
          <w:sz w:val="20"/>
          <w:szCs w:val="20"/>
          <w:bdr w:val="none" w:sz="0" w:space="0" w:color="auto"/>
        </w:rPr>
        <w:t xml:space="preserve">The Supreme Court has heard twelve cases relating to patents, copyrights, or trademarks over the past two terms alone.  </w:t>
      </w:r>
      <w:r w:rsidRPr="009342B8">
        <w:rPr>
          <w:rFonts w:eastAsia="Times New Roman" w:hAnsi="Times New Roman" w:cs="Times New Roman"/>
          <w:i/>
          <w:color w:val="auto"/>
          <w:sz w:val="20"/>
          <w:szCs w:val="20"/>
          <w:bdr w:val="none" w:sz="0" w:space="0" w:color="auto"/>
        </w:rPr>
        <w:t>See</w:t>
      </w:r>
      <w:r w:rsidRPr="00806069">
        <w:rPr>
          <w:rFonts w:eastAsia="Times New Roman" w:hAnsi="Times New Roman" w:cs="Times New Roman"/>
          <w:color w:val="auto"/>
          <w:sz w:val="20"/>
          <w:szCs w:val="20"/>
          <w:bdr w:val="none" w:sz="0" w:space="0" w:color="auto"/>
        </w:rPr>
        <w:t xml:space="preserve"> </w:t>
      </w:r>
      <w:r w:rsidRPr="009342B8">
        <w:rPr>
          <w:rFonts w:eastAsia="Times New Roman" w:hAnsi="Times New Roman" w:cs="Times New Roman"/>
          <w:i/>
          <w:color w:val="auto"/>
          <w:sz w:val="20"/>
          <w:szCs w:val="20"/>
          <w:bdr w:val="none" w:sz="0" w:space="0" w:color="auto"/>
        </w:rPr>
        <w:t>e.g</w:t>
      </w:r>
      <w:r w:rsidRPr="00806069">
        <w:rPr>
          <w:rFonts w:eastAsia="Times New Roman" w:hAnsi="Times New Roman" w:cs="Times New Roman"/>
          <w:color w:val="auto"/>
          <w:sz w:val="20"/>
          <w:szCs w:val="20"/>
          <w:bdr w:val="none" w:sz="0" w:space="0" w:color="auto"/>
        </w:rPr>
        <w:t xml:space="preserve">., Am. Broad. Companies, Inc. v. Aereo, Inc., f/k/a Bamboom Labs, Inc., </w:t>
      </w:r>
      <w:r>
        <w:rPr>
          <w:rFonts w:eastAsia="Times New Roman" w:hAnsi="Times New Roman" w:cs="Times New Roman"/>
          <w:color w:val="auto"/>
          <w:sz w:val="20"/>
          <w:szCs w:val="20"/>
          <w:bdr w:val="none" w:sz="0" w:space="0" w:color="auto"/>
        </w:rPr>
        <w:t>134 S. Ct. 2498 (2014)</w:t>
      </w:r>
      <w:r w:rsidRPr="00806069">
        <w:rPr>
          <w:rFonts w:eastAsia="Times New Roman" w:hAnsi="Times New Roman" w:cs="Times New Roman"/>
          <w:color w:val="auto"/>
          <w:sz w:val="20"/>
          <w:szCs w:val="20"/>
          <w:bdr w:val="none" w:sz="0" w:space="0" w:color="auto"/>
        </w:rPr>
        <w:t xml:space="preserve">; </w:t>
      </w:r>
      <w:r w:rsidRPr="00806069">
        <w:rPr>
          <w:rFonts w:hAnsi="Times New Roman"/>
          <w:color w:val="auto"/>
          <w:sz w:val="20"/>
          <w:szCs w:val="20"/>
          <w:bdr w:val="none" w:sz="0" w:space="0" w:color="auto"/>
        </w:rPr>
        <w:t xml:space="preserve">Alice Corp. Pty. Ltd. v. CLS Bank Int'l, </w:t>
      </w:r>
      <w:r>
        <w:rPr>
          <w:rFonts w:hAnsi="Times New Roman"/>
          <w:color w:val="auto"/>
          <w:sz w:val="20"/>
          <w:szCs w:val="20"/>
          <w:bdr w:val="none" w:sz="0" w:space="0" w:color="auto"/>
        </w:rPr>
        <w:t xml:space="preserve">134 S.Ct. 2347 (2014); </w:t>
      </w:r>
      <w:r w:rsidRPr="00806069">
        <w:rPr>
          <w:rFonts w:hAnsi="Times New Roman"/>
          <w:color w:val="auto"/>
          <w:sz w:val="20"/>
          <w:szCs w:val="20"/>
          <w:bdr w:val="none" w:sz="0" w:space="0" w:color="auto"/>
        </w:rPr>
        <w:t xml:space="preserve">Petrella v. Metro-Goldwyn-Mayer, Inc., 134 S. Ct. 1962 (2014); </w:t>
      </w:r>
      <w:r w:rsidRPr="00806069">
        <w:rPr>
          <w:rFonts w:eastAsia="Times New Roman" w:hAnsi="Times New Roman" w:cs="Times New Roman"/>
          <w:color w:val="auto"/>
          <w:sz w:val="20"/>
          <w:szCs w:val="20"/>
          <w:bdr w:val="none" w:sz="0" w:space="0" w:color="auto"/>
        </w:rPr>
        <w:t xml:space="preserve">Medtronic, Inc. v. Mirowski Family Ventures, LLC, 134 S. Ct. 843 (2014); Nautilus, Inc. v. Biosig Instruments, Inc., 134 S. Ct. 2120 (2014); Ass’n for Molecular Pathology v. Myriad Genetics, Inc., 133 S. Ct. 2107 (2013); Already, LLC v. Nike, Inc., 133 S. Ct. 721 (2013). </w:t>
      </w:r>
    </w:p>
  </w:footnote>
  <w:footnote w:id="19">
    <w:p w14:paraId="72AC6799" w14:textId="77777777" w:rsidR="00E81370" w:rsidRPr="00806069" w:rsidRDefault="00E81370" w:rsidP="004C60E2">
      <w:pPr>
        <w:pStyle w:val="FootnoteText"/>
        <w:ind w:firstLine="0"/>
      </w:pPr>
      <w:r w:rsidRPr="00806069">
        <w:rPr>
          <w:vertAlign w:val="superscript"/>
        </w:rPr>
        <w:footnoteRef/>
      </w:r>
      <w:r w:rsidRPr="00806069">
        <w:rPr>
          <w:shd w:val="clear" w:color="auto" w:fill="FFFFFF"/>
        </w:rPr>
        <w:t xml:space="preserve"> Dastar Corp. v. 20th Century Fox Film Corp., 539 U.S. 23, 33-34 (2003). </w:t>
      </w:r>
    </w:p>
  </w:footnote>
  <w:footnote w:id="20">
    <w:p w14:paraId="5B0F56FC" w14:textId="77777777" w:rsidR="00E81370" w:rsidRPr="00806069" w:rsidRDefault="00E81370">
      <w:pPr>
        <w:pStyle w:val="FootnoteText"/>
        <w:ind w:firstLine="0"/>
      </w:pPr>
      <w:r w:rsidRPr="00806069">
        <w:rPr>
          <w:vertAlign w:val="superscript"/>
        </w:rPr>
        <w:footnoteRef/>
      </w:r>
      <w:r>
        <w:rPr>
          <w:shd w:val="clear" w:color="auto" w:fill="FFFFFF"/>
        </w:rPr>
        <w:t xml:space="preserve"> </w:t>
      </w:r>
      <w:r w:rsidRPr="00806069">
        <w:rPr>
          <w:shd w:val="clear" w:color="auto" w:fill="FFFFFF"/>
        </w:rPr>
        <w:t>Mark A. Lemley, </w:t>
      </w:r>
      <w:r w:rsidRPr="00806069">
        <w:rPr>
          <w:i/>
          <w:iCs/>
          <w:shd w:val="clear" w:color="auto" w:fill="FFFFFF"/>
        </w:rPr>
        <w:t>Ex Ante Versus Ex Post Justifications for Intellectual Property</w:t>
      </w:r>
      <w:r w:rsidRPr="00806069">
        <w:rPr>
          <w:shd w:val="clear" w:color="auto" w:fill="FFFFFF"/>
        </w:rPr>
        <w:t>, 71</w:t>
      </w:r>
      <w:r>
        <w:rPr>
          <w:shd w:val="clear" w:color="auto" w:fill="FFFFFF"/>
        </w:rPr>
        <w:t xml:space="preserve"> </w:t>
      </w:r>
      <w:r w:rsidRPr="00806069">
        <w:rPr>
          <w:smallCaps/>
          <w:shd w:val="clear" w:color="auto" w:fill="FFFFFF"/>
        </w:rPr>
        <w:t xml:space="preserve">U. Chi. L. Rev. </w:t>
      </w:r>
      <w:r w:rsidRPr="00806069">
        <w:rPr>
          <w:shd w:val="clear" w:color="auto" w:fill="FFFFFF"/>
        </w:rPr>
        <w:t>129, 131 (2004)</w:t>
      </w:r>
      <w:r>
        <w:rPr>
          <w:shd w:val="clear" w:color="auto" w:fill="FFFFFF"/>
        </w:rPr>
        <w:t xml:space="preserve"> </w:t>
      </w:r>
      <w:r w:rsidRPr="00806069">
        <w:t>(describing the standard account under which “intellectual property is a necessary evil”)</w:t>
      </w:r>
      <w:r w:rsidRPr="00806069">
        <w:rPr>
          <w:shd w:val="clear" w:color="auto" w:fill="FFFFFF"/>
        </w:rPr>
        <w:t xml:space="preserve">. </w:t>
      </w:r>
    </w:p>
  </w:footnote>
  <w:footnote w:id="21">
    <w:p w14:paraId="7688EBDE" w14:textId="77777777" w:rsidR="00E81370" w:rsidRPr="002653BC" w:rsidRDefault="00E81370">
      <w:pPr>
        <w:pStyle w:val="FootnoteText"/>
        <w:ind w:firstLine="0"/>
      </w:pPr>
      <w:r w:rsidRPr="00806069">
        <w:rPr>
          <w:vertAlign w:val="superscript"/>
        </w:rPr>
        <w:footnoteRef/>
      </w:r>
      <w:r w:rsidRPr="00806069">
        <w:t xml:space="preserve"> A growing but significant minority of commentators advocate against intellectual property as an unnecessary evil which ultimately reduces access and slows down progress in the arts and sciences. Michele Boldrin &amp; David K. Levine, </w:t>
      </w:r>
      <w:r w:rsidRPr="009342B8">
        <w:rPr>
          <w:smallCaps/>
        </w:rPr>
        <w:t>Against Intellectual Monopoly</w:t>
      </w:r>
      <w:r w:rsidRPr="00806069">
        <w:t xml:space="preserve"> (2008).</w:t>
      </w:r>
    </w:p>
  </w:footnote>
  <w:footnote w:id="22">
    <w:p w14:paraId="7DCD9A2E" w14:textId="77777777" w:rsidR="00E81370" w:rsidRPr="002653BC" w:rsidRDefault="00E81370">
      <w:pPr>
        <w:pStyle w:val="FootnoteText"/>
        <w:ind w:firstLine="0"/>
      </w:pPr>
      <w:r w:rsidRPr="002653BC">
        <w:rPr>
          <w:vertAlign w:val="superscript"/>
        </w:rPr>
        <w:footnoteRef/>
      </w:r>
      <w:r w:rsidRPr="002653BC">
        <w:t xml:space="preserve"> Open Letter to WIPO, Nature 424, p.118, </w:t>
      </w:r>
      <w:r>
        <w:t>(Oct. 7, 2003)</w:t>
      </w:r>
      <w:r w:rsidRPr="002653BC">
        <w:t>.</w:t>
      </w:r>
    </w:p>
  </w:footnote>
  <w:footnote w:id="23">
    <w:p w14:paraId="53A0E4B3" w14:textId="77777777" w:rsidR="00E81370" w:rsidRPr="002653BC" w:rsidRDefault="00E81370" w:rsidP="007D01C3">
      <w:pPr>
        <w:pStyle w:val="FootnoteText"/>
        <w:ind w:firstLine="0"/>
      </w:pPr>
      <w:r w:rsidRPr="002653BC">
        <w:rPr>
          <w:vertAlign w:val="superscript"/>
        </w:rPr>
        <w:footnoteRef/>
      </w:r>
      <w:r w:rsidRPr="002653BC">
        <w:t xml:space="preserve"> Leahy-Smith America Invents Act (AIA), Pub. L. No. 112-29, 125 Stat. 284 (2011). </w:t>
      </w:r>
    </w:p>
  </w:footnote>
  <w:footnote w:id="24">
    <w:p w14:paraId="5E7288F5" w14:textId="77777777" w:rsidR="00E81370" w:rsidRPr="002653BC" w:rsidRDefault="00E81370" w:rsidP="00372774">
      <w:pPr>
        <w:pStyle w:val="FootnoteText"/>
        <w:ind w:firstLine="0"/>
      </w:pPr>
      <w:r w:rsidRPr="002653BC">
        <w:rPr>
          <w:vertAlign w:val="superscript"/>
        </w:rPr>
        <w:footnoteRef/>
      </w:r>
      <w:r w:rsidRPr="002653BC">
        <w:t xml:space="preserve"> For example, The Saving High-Tech Innovators from Egregious Legal Disputes Act of 2013 (SHIELD Act), H.R. 845, 113th Cong. (2013)</w:t>
      </w:r>
      <w:r>
        <w:t>,</w:t>
      </w:r>
      <w:r w:rsidRPr="002653BC">
        <w:t xml:space="preserve"> is aimed at “stopping patent troll lawsuits.”</w:t>
      </w:r>
      <w:r w:rsidRPr="00A43A65">
        <w:t xml:space="preserve"> </w:t>
      </w:r>
      <w:r w:rsidRPr="002653BC">
        <w:t xml:space="preserve">Currently there are multiple bills before Congress aimed at strengthening trade secret protections, including, Deter Cyber Theft Act of 2014, S. 2384, 113th Cong. (2014), available at </w:t>
      </w:r>
      <w:hyperlink r:id="rId2" w:history="1">
        <w:r w:rsidRPr="002653BC">
          <w:rPr>
            <w:rStyle w:val="Hyperlink"/>
          </w:rPr>
          <w:t>https://www.govtrack.us/congress/bills/113/s2378</w:t>
        </w:r>
      </w:hyperlink>
      <w:r w:rsidRPr="002653BC">
        <w:t xml:space="preserve">, which proposes to deter trade secrets theft in cyberspace, the Defend Trade Secrets Act of 2014 to provide Federal </w:t>
      </w:r>
      <w:r w:rsidRPr="005E7C05">
        <w:t xml:space="preserve">jurisdiction for theft of trade secrets, S. 2267, 113th Cong. (2014), available at https://www.govtrack.us/congress/bills/113/s2267, the Whitehouse-Graham Discussion Draft of July 29, 2013 to expand the scope of the EEA, available at </w:t>
      </w:r>
      <w:hyperlink r:id="rId3" w:history="1">
        <w:r w:rsidRPr="005E7C05">
          <w:rPr>
            <w:rStyle w:val="Hyperlink"/>
          </w:rPr>
          <w:t>http://www.whitehouse.senate.gov/news/release/whitehouse-and-graham-working-to-crack-down-on-economic-espionage</w:t>
        </w:r>
      </w:hyperlink>
      <w:r w:rsidRPr="005E7C05">
        <w:t>, and the Private Right of Action Against Theft of Trade Secrets Act of 2013 to provide for civil actions. H.R. 2466, 113th Cong. (2013), available at https://www.govtrack.us/ co</w:t>
      </w:r>
      <w:r>
        <w:t xml:space="preserve">ngress/bills/113/hr2466; </w:t>
      </w:r>
      <w:r w:rsidRPr="005E7C05">
        <w:t>Joshua Sibble</w:t>
      </w:r>
      <w:r w:rsidRPr="005E7C05">
        <w:rPr>
          <w:i/>
        </w:rPr>
        <w:t>, International Trend Toward Strengthening Trade Secret Law</w:t>
      </w:r>
      <w:r w:rsidRPr="005E7C05">
        <w:t xml:space="preserve">, </w:t>
      </w:r>
      <w:r w:rsidRPr="005E7C05">
        <w:rPr>
          <w:smallCaps/>
        </w:rPr>
        <w:t>Intell. Prop. &amp; Tech. L.J</w:t>
      </w:r>
      <w:r w:rsidRPr="005E7C05">
        <w:t>. (2014).</w:t>
      </w:r>
    </w:p>
  </w:footnote>
  <w:footnote w:id="25">
    <w:p w14:paraId="6AFD085A" w14:textId="77777777" w:rsidR="00E81370" w:rsidRPr="005E7C05" w:rsidRDefault="00E81370" w:rsidP="00E76FCE">
      <w:pPr>
        <w:pStyle w:val="Heading1"/>
        <w:shd w:val="clear" w:color="auto" w:fill="FFFFFF"/>
        <w:spacing w:after="150"/>
        <w:jc w:val="both"/>
        <w:rPr>
          <w:sz w:val="20"/>
          <w:szCs w:val="20"/>
        </w:rPr>
      </w:pPr>
      <w:r w:rsidRPr="00EE09BC">
        <w:rPr>
          <w:rStyle w:val="FootnoteReference"/>
          <w:sz w:val="20"/>
          <w:szCs w:val="20"/>
        </w:rPr>
        <w:footnoteRef/>
      </w:r>
      <w:r w:rsidRPr="00EE09BC">
        <w:rPr>
          <w:sz w:val="20"/>
          <w:szCs w:val="20"/>
        </w:rPr>
        <w:t xml:space="preserve"> </w:t>
      </w:r>
      <w:r w:rsidRPr="009342B8">
        <w:rPr>
          <w:smallCaps w:val="0"/>
          <w:sz w:val="20"/>
          <w:szCs w:val="20"/>
        </w:rPr>
        <w:t xml:space="preserve">Steven Greenhouse, </w:t>
      </w:r>
      <w:r w:rsidRPr="009342B8">
        <w:rPr>
          <w:i/>
          <w:iCs/>
          <w:smallCaps w:val="0"/>
          <w:sz w:val="20"/>
          <w:szCs w:val="20"/>
        </w:rPr>
        <w:t>Noncompete Clauses Increasingly Pop Up in Array of Jobs</w:t>
      </w:r>
      <w:r w:rsidRPr="00EE09BC">
        <w:rPr>
          <w:i/>
          <w:iCs/>
          <w:sz w:val="20"/>
          <w:szCs w:val="20"/>
        </w:rPr>
        <w:t>,</w:t>
      </w:r>
      <w:r w:rsidRPr="00EE09BC">
        <w:rPr>
          <w:iCs/>
          <w:sz w:val="20"/>
          <w:szCs w:val="20"/>
        </w:rPr>
        <w:t xml:space="preserve"> </w:t>
      </w:r>
      <w:r w:rsidRPr="000B652F">
        <w:rPr>
          <w:sz w:val="20"/>
          <w:szCs w:val="20"/>
        </w:rPr>
        <w:t>N.Y</w:t>
      </w:r>
      <w:r w:rsidRPr="00EE09BC">
        <w:rPr>
          <w:iCs/>
          <w:sz w:val="20"/>
          <w:szCs w:val="20"/>
        </w:rPr>
        <w:t>. times</w:t>
      </w:r>
      <w:r>
        <w:rPr>
          <w:iCs/>
          <w:sz w:val="20"/>
          <w:szCs w:val="20"/>
        </w:rPr>
        <w:t xml:space="preserve">, </w:t>
      </w:r>
      <w:r w:rsidRPr="009342B8">
        <w:rPr>
          <w:iCs/>
          <w:smallCaps w:val="0"/>
          <w:sz w:val="20"/>
          <w:szCs w:val="20"/>
        </w:rPr>
        <w:t>June 2014</w:t>
      </w:r>
      <w:r w:rsidRPr="00EE09BC">
        <w:rPr>
          <w:i/>
          <w:iCs/>
          <w:sz w:val="20"/>
          <w:szCs w:val="20"/>
        </w:rPr>
        <w:t xml:space="preserve">.  </w:t>
      </w:r>
    </w:p>
    <w:p w14:paraId="08364D60" w14:textId="77777777" w:rsidR="00E81370" w:rsidRDefault="00E81370">
      <w:pPr>
        <w:pStyle w:val="FootnoteText"/>
      </w:pPr>
    </w:p>
  </w:footnote>
  <w:footnote w:id="26">
    <w:p w14:paraId="744691A9" w14:textId="77777777" w:rsidR="00E81370" w:rsidRPr="00375C2E" w:rsidRDefault="00E81370" w:rsidP="00375C2E">
      <w:pPr>
        <w:pStyle w:val="Heading2"/>
        <w:ind w:left="0" w:firstLine="0"/>
        <w:jc w:val="both"/>
        <w:rPr>
          <w:sz w:val="20"/>
          <w:szCs w:val="20"/>
        </w:rPr>
      </w:pPr>
      <w:r w:rsidRPr="00375C2E">
        <w:rPr>
          <w:rStyle w:val="FootnoteReference"/>
          <w:sz w:val="20"/>
          <w:szCs w:val="20"/>
        </w:rPr>
        <w:footnoteRef/>
      </w:r>
      <w:r w:rsidRPr="00520870">
        <w:rPr>
          <w:color w:val="auto"/>
          <w:sz w:val="20"/>
          <w:szCs w:val="20"/>
        </w:rPr>
        <w:t xml:space="preserve"> </w:t>
      </w:r>
      <w:r w:rsidRPr="00520870">
        <w:rPr>
          <w:i w:val="0"/>
          <w:iCs w:val="0"/>
          <w:color w:val="auto"/>
          <w:sz w:val="20"/>
          <w:szCs w:val="20"/>
        </w:rPr>
        <w:t>Dan Michalski,</w:t>
      </w:r>
      <w:r w:rsidRPr="00520870">
        <w:rPr>
          <w:color w:val="auto"/>
          <w:sz w:val="20"/>
          <w:szCs w:val="20"/>
        </w:rPr>
        <w:t xml:space="preserve"> Street Talk: Who Owns Your Brain?</w:t>
      </w:r>
      <w:r w:rsidRPr="00520870">
        <w:rPr>
          <w:rStyle w:val="issue"/>
          <w:caps/>
          <w:color w:val="auto"/>
          <w:sz w:val="20"/>
          <w:szCs w:val="20"/>
        </w:rPr>
        <w:t xml:space="preserve"> </w:t>
      </w:r>
      <w:r w:rsidRPr="00520870">
        <w:rPr>
          <w:rStyle w:val="issue"/>
          <w:i w:val="0"/>
          <w:iCs w:val="0"/>
          <w:caps/>
          <w:color w:val="auto"/>
          <w:sz w:val="20"/>
          <w:szCs w:val="20"/>
        </w:rPr>
        <w:t>D MAGAZINE</w:t>
      </w:r>
      <w:r>
        <w:rPr>
          <w:rStyle w:val="issue"/>
          <w:i w:val="0"/>
          <w:iCs w:val="0"/>
          <w:caps/>
          <w:color w:val="auto"/>
          <w:sz w:val="20"/>
          <w:szCs w:val="20"/>
        </w:rPr>
        <w:t xml:space="preserve">, </w:t>
      </w:r>
      <w:r>
        <w:rPr>
          <w:rStyle w:val="issue"/>
          <w:i w:val="0"/>
          <w:iCs w:val="0"/>
          <w:color w:val="auto"/>
          <w:sz w:val="20"/>
          <w:szCs w:val="20"/>
        </w:rPr>
        <w:t>June</w:t>
      </w:r>
      <w:r w:rsidRPr="009342B8">
        <w:rPr>
          <w:rStyle w:val="issue"/>
          <w:i w:val="0"/>
          <w:iCs w:val="0"/>
          <w:color w:val="auto"/>
          <w:sz w:val="20"/>
          <w:szCs w:val="20"/>
        </w:rPr>
        <w:t xml:space="preserve"> 2000</w:t>
      </w:r>
      <w:r>
        <w:rPr>
          <w:rStyle w:val="issue"/>
          <w:i w:val="0"/>
          <w:iCs w:val="0"/>
          <w:caps/>
          <w:color w:val="auto"/>
          <w:sz w:val="20"/>
          <w:szCs w:val="20"/>
        </w:rPr>
        <w:t>.</w:t>
      </w:r>
    </w:p>
  </w:footnote>
  <w:footnote w:id="27">
    <w:p w14:paraId="524EEE50" w14:textId="77777777" w:rsidR="00E81370" w:rsidRPr="00520870" w:rsidRDefault="00E81370" w:rsidP="004C60E2">
      <w:pPr>
        <w:pStyle w:val="FootnoteText"/>
        <w:ind w:firstLine="0"/>
      </w:pPr>
      <w:r w:rsidRPr="00520870">
        <w:rPr>
          <w:vertAlign w:val="superscript"/>
        </w:rPr>
        <w:footnoteRef/>
      </w:r>
      <w:r w:rsidRPr="00520870">
        <w:t xml:space="preserve"> </w:t>
      </w:r>
      <w:r w:rsidRPr="00520870">
        <w:rPr>
          <w:i/>
          <w:iCs/>
        </w:rPr>
        <w:t>See e.g.,</w:t>
      </w:r>
      <w:r w:rsidRPr="00520870">
        <w:t xml:space="preserve"> </w:t>
      </w:r>
      <w:r w:rsidRPr="00375C2E">
        <w:rPr>
          <w:rFonts w:cs="Arial"/>
          <w:color w:val="252525"/>
        </w:rPr>
        <w:t>Jeff Nachtigal,</w:t>
      </w:r>
      <w:r w:rsidRPr="00375C2E">
        <w:rPr>
          <w:rStyle w:val="apple-converted-space"/>
          <w:rFonts w:cs="Arial"/>
          <w:color w:val="252525"/>
        </w:rPr>
        <w:t> </w:t>
      </w:r>
      <w:r w:rsidRPr="00375C2E">
        <w:rPr>
          <w:rStyle w:val="Emphasis"/>
          <w:rFonts w:cs="Arial"/>
          <w:color w:val="252525"/>
        </w:rPr>
        <w:t>We Own What You Think</w:t>
      </w:r>
      <w:r w:rsidRPr="00375C2E">
        <w:rPr>
          <w:rFonts w:cs="Arial"/>
          <w:color w:val="252525"/>
        </w:rPr>
        <w:t xml:space="preserve">, </w:t>
      </w:r>
      <w:r w:rsidRPr="009342B8">
        <w:rPr>
          <w:rFonts w:cs="Arial"/>
          <w:smallCaps/>
          <w:color w:val="252525"/>
        </w:rPr>
        <w:t>Salon.com</w:t>
      </w:r>
      <w:r>
        <w:rPr>
          <w:rFonts w:cs="Arial"/>
          <w:color w:val="252525"/>
        </w:rPr>
        <w:t xml:space="preserve">, </w:t>
      </w:r>
      <w:r w:rsidRPr="00375C2E">
        <w:rPr>
          <w:rFonts w:cs="Arial"/>
          <w:color w:val="252525"/>
        </w:rPr>
        <w:t>Aug. 18, 2004.</w:t>
      </w:r>
      <w:r w:rsidRPr="00520870">
        <w:t xml:space="preserve"> </w:t>
      </w:r>
    </w:p>
  </w:footnote>
  <w:footnote w:id="28">
    <w:p w14:paraId="39195EE3" w14:textId="77777777" w:rsidR="00E81370" w:rsidRPr="00443D7C" w:rsidRDefault="00E81370" w:rsidP="009E7AF6">
      <w:pPr>
        <w:pStyle w:val="FootnoteText"/>
        <w:ind w:firstLine="0"/>
      </w:pPr>
      <w:r w:rsidRPr="00520870">
        <w:rPr>
          <w:vertAlign w:val="superscript"/>
        </w:rPr>
        <w:footnoteRef/>
      </w:r>
      <w:r w:rsidRPr="00520870">
        <w:t xml:space="preserve"> </w:t>
      </w:r>
      <w:r w:rsidRPr="009342B8">
        <w:rPr>
          <w:smallCaps/>
        </w:rPr>
        <w:t>Orly Lobel</w:t>
      </w:r>
      <w:r w:rsidRPr="00016B9E">
        <w:t xml:space="preserve">, </w:t>
      </w:r>
      <w:r w:rsidRPr="009342B8">
        <w:rPr>
          <w:smallCaps/>
        </w:rPr>
        <w:t xml:space="preserve">Talent Wants to Be Free: Why We Should Learn to Love Raids, Leaks, and Free Riding </w:t>
      </w:r>
      <w:r w:rsidRPr="00016B9E">
        <w:t>(2013)</w:t>
      </w:r>
      <w:r>
        <w:t>.</w:t>
      </w:r>
      <w:r w:rsidRPr="00717FC1">
        <w:t xml:space="preserve"> </w:t>
      </w:r>
    </w:p>
  </w:footnote>
  <w:footnote w:id="29">
    <w:p w14:paraId="1D59EC8E" w14:textId="77777777" w:rsidR="00E81370" w:rsidRPr="00375C2E" w:rsidRDefault="00E81370">
      <w:pPr>
        <w:shd w:val="clear" w:color="auto" w:fill="FFFFFF"/>
        <w:spacing w:line="240" w:lineRule="atLeast"/>
        <w:ind w:firstLine="0"/>
        <w:rPr>
          <w:rFonts w:hAnsi="Times New Roman"/>
          <w:sz w:val="20"/>
          <w:szCs w:val="20"/>
        </w:rPr>
      </w:pPr>
      <w:r w:rsidRPr="00375C2E">
        <w:rPr>
          <w:rStyle w:val="FootnoteReference"/>
          <w:rFonts w:hAnsi="Times New Roman"/>
          <w:sz w:val="20"/>
          <w:szCs w:val="20"/>
        </w:rPr>
        <w:footnoteRef/>
      </w:r>
      <w:r w:rsidRPr="00375C2E">
        <w:rPr>
          <w:rFonts w:hAnsi="Times New Roman"/>
          <w:sz w:val="20"/>
          <w:szCs w:val="20"/>
        </w:rPr>
        <w:t xml:space="preserve"> David J. Brody, </w:t>
      </w:r>
      <w:r w:rsidRPr="00375C2E">
        <w:rPr>
          <w:rFonts w:hAnsi="Times New Roman"/>
          <w:i/>
          <w:sz w:val="20"/>
          <w:szCs w:val="20"/>
        </w:rPr>
        <w:t xml:space="preserve">Employee Invention Assignment Agreements: Issues in Getting Them Right, </w:t>
      </w:r>
      <w:r w:rsidRPr="009342B8">
        <w:rPr>
          <w:rFonts w:hAnsi="Times New Roman"/>
          <w:smallCaps/>
          <w:sz w:val="20"/>
          <w:szCs w:val="20"/>
        </w:rPr>
        <w:t>HBSR White Paper</w:t>
      </w:r>
      <w:r>
        <w:rPr>
          <w:rFonts w:hAnsi="Times New Roman" w:cs="Arial"/>
          <w:bCs/>
          <w:caps/>
          <w:color w:val="auto"/>
          <w:spacing w:val="23"/>
          <w:sz w:val="20"/>
          <w:szCs w:val="20"/>
        </w:rPr>
        <w:t xml:space="preserve">, </w:t>
      </w:r>
      <w:r w:rsidRPr="00375C2E">
        <w:rPr>
          <w:rFonts w:hAnsi="Times New Roman" w:cs="Arial"/>
          <w:sz w:val="20"/>
          <w:szCs w:val="20"/>
        </w:rPr>
        <w:t xml:space="preserve">June 2011 </w:t>
      </w:r>
      <w:r w:rsidRPr="00375C2E">
        <w:rPr>
          <w:rFonts w:hAnsi="Times New Roman"/>
          <w:sz w:val="20"/>
          <w:szCs w:val="20"/>
        </w:rPr>
        <w:t>(</w:t>
      </w:r>
      <w:r w:rsidRPr="00375C2E">
        <w:rPr>
          <w:rFonts w:hAnsi="Times New Roman" w:cs="Arial"/>
          <w:sz w:val="20"/>
          <w:szCs w:val="20"/>
          <w:shd w:val="clear" w:color="auto" w:fill="FFFFFF"/>
        </w:rPr>
        <w:t>Employee invention assignment agreements are among the most common agreements that companies have).</w:t>
      </w:r>
    </w:p>
  </w:footnote>
  <w:footnote w:id="30">
    <w:p w14:paraId="1DD4BF02" w14:textId="77777777" w:rsidR="00E81370" w:rsidRDefault="00E81370" w:rsidP="00D71272">
      <w:pPr>
        <w:ind w:firstLine="0"/>
      </w:pPr>
      <w:r w:rsidRPr="00375C2E">
        <w:rPr>
          <w:rStyle w:val="FootnoteReference"/>
          <w:rFonts w:hAnsi="Times New Roman"/>
          <w:sz w:val="20"/>
          <w:szCs w:val="20"/>
        </w:rPr>
        <w:footnoteRef/>
      </w:r>
      <w:r w:rsidRPr="00375C2E">
        <w:rPr>
          <w:rFonts w:hAnsi="Times New Roman"/>
          <w:sz w:val="20"/>
          <w:szCs w:val="20"/>
        </w:rPr>
        <w:t xml:space="preserve"> </w:t>
      </w:r>
      <w:r>
        <w:rPr>
          <w:rFonts w:hAnsi="Times New Roman"/>
          <w:smallCaps/>
          <w:sz w:val="20"/>
          <w:szCs w:val="20"/>
        </w:rPr>
        <w:t>U.S. Patent and Trademark Office, Report</w:t>
      </w:r>
      <w:r w:rsidRPr="00375C2E">
        <w:rPr>
          <w:rFonts w:hAnsi="Times New Roman" w:cs="Times New Roman"/>
          <w:color w:val="auto"/>
          <w:sz w:val="20"/>
          <w:szCs w:val="20"/>
        </w:rPr>
        <w:t xml:space="preserve"> (2012), PART A1</w:t>
      </w:r>
      <w:r>
        <w:rPr>
          <w:rFonts w:hAnsi="Times New Roman" w:cs="Times New Roman"/>
          <w:color w:val="auto"/>
          <w:sz w:val="20"/>
          <w:szCs w:val="20"/>
        </w:rPr>
        <w:t>.</w:t>
      </w:r>
    </w:p>
  </w:footnote>
  <w:footnote w:id="31">
    <w:p w14:paraId="05B064C8" w14:textId="77777777" w:rsidR="00E81370" w:rsidRDefault="00E81370" w:rsidP="00AB52EF">
      <w:pPr>
        <w:pStyle w:val="FootnoteText"/>
        <w:ind w:firstLine="0"/>
      </w:pPr>
      <w:r>
        <w:rPr>
          <w:rStyle w:val="FootnoteReference"/>
        </w:rPr>
        <w:footnoteRef/>
      </w:r>
      <w:r>
        <w:t xml:space="preserve"> </w:t>
      </w:r>
      <w:r w:rsidRPr="00375C2E">
        <w:rPr>
          <w:rStyle w:val="cosearchterm"/>
          <w:bCs/>
          <w:color w:val="252525"/>
        </w:rPr>
        <w:t>Brown</w:t>
      </w:r>
      <w:r w:rsidRPr="00375C2E">
        <w:rPr>
          <w:rStyle w:val="apple-converted-space"/>
          <w:color w:val="252525"/>
        </w:rPr>
        <w:t> </w:t>
      </w:r>
      <w:r w:rsidRPr="00375C2E">
        <w:rPr>
          <w:color w:val="252525"/>
        </w:rPr>
        <w:t>v.</w:t>
      </w:r>
      <w:r w:rsidRPr="00375C2E">
        <w:rPr>
          <w:rStyle w:val="apple-converted-space"/>
          <w:color w:val="252525"/>
        </w:rPr>
        <w:t> </w:t>
      </w:r>
      <w:r w:rsidRPr="00375C2E">
        <w:rPr>
          <w:rStyle w:val="cosearchterm"/>
          <w:bCs/>
          <w:color w:val="252525"/>
        </w:rPr>
        <w:t>Alcatel</w:t>
      </w:r>
      <w:r w:rsidRPr="00375C2E">
        <w:rPr>
          <w:rStyle w:val="apple-converted-space"/>
          <w:color w:val="252525"/>
        </w:rPr>
        <w:t> </w:t>
      </w:r>
      <w:r w:rsidRPr="00375C2E">
        <w:rPr>
          <w:color w:val="252525"/>
        </w:rPr>
        <w:t>USA</w:t>
      </w:r>
      <w:r>
        <w:rPr>
          <w:color w:val="252525"/>
        </w:rPr>
        <w:t>,</w:t>
      </w:r>
      <w:r w:rsidRPr="00F368C0">
        <w:t xml:space="preserve"> </w:t>
      </w:r>
      <w:r w:rsidRPr="00375C2E">
        <w:rPr>
          <w:i/>
        </w:rPr>
        <w:t>supra</w:t>
      </w:r>
      <w:r w:rsidRPr="00F368C0">
        <w:t xml:space="preserve"> note</w:t>
      </w:r>
      <w:r>
        <w:t xml:space="preserve"> </w:t>
      </w:r>
      <w:r>
        <w:fldChar w:fldCharType="begin"/>
      </w:r>
      <w:r>
        <w:instrText xml:space="preserve"> NOTEREF _Ref265932805 \h </w:instrText>
      </w:r>
      <w:r>
        <w:fldChar w:fldCharType="separate"/>
      </w:r>
      <w:r w:rsidR="0039144E">
        <w:rPr>
          <w:b/>
          <w:bCs/>
        </w:rPr>
        <w:t>Error! Bookmark not defined.</w:t>
      </w:r>
      <w:r>
        <w:fldChar w:fldCharType="end"/>
      </w:r>
      <w:r>
        <w:t xml:space="preserve">. </w:t>
      </w:r>
    </w:p>
  </w:footnote>
  <w:footnote w:id="32">
    <w:p w14:paraId="5B16F0D8" w14:textId="77777777" w:rsidR="00E81370" w:rsidRPr="001879FA" w:rsidRDefault="00E81370">
      <w:pPr>
        <w:pStyle w:val="FootnoteText"/>
        <w:ind w:firstLine="0"/>
      </w:pPr>
      <w:r w:rsidRPr="001879FA">
        <w:rPr>
          <w:vertAlign w:val="superscript"/>
        </w:rPr>
        <w:footnoteRef/>
      </w:r>
      <w:r w:rsidRPr="001879FA">
        <w:rPr>
          <w:i/>
          <w:iCs/>
        </w:rPr>
        <w:t>See</w:t>
      </w:r>
      <w:r w:rsidRPr="004C60E2">
        <w:t xml:space="preserve"> U.S. Patent &amp; Trademark Office, Manual of Patent Examining Procedure </w:t>
      </w:r>
      <w:r w:rsidRPr="00375C2E">
        <w:t>§</w:t>
      </w:r>
      <w:r w:rsidRPr="001879FA">
        <w:t>2</w:t>
      </w:r>
      <w:r w:rsidRPr="004C60E2">
        <w:t xml:space="preserve">138.05 (2001), available at http://www.uspto.gov/web/offices/pac/mpep/documents/2100_2138_05.htm </w:t>
      </w:r>
      <w:r w:rsidRPr="00375C2E">
        <w:t>“</w:t>
      </w:r>
      <w:r w:rsidRPr="001879FA">
        <w:t>Reduction to practice may be an actual reduction or a constructive reduction to practice which occurs when a patent application on the claimed invention is fi</w:t>
      </w:r>
      <w:r w:rsidRPr="00375C2E">
        <w:t xml:space="preserve">led. The filing of a patent application serves as conception and constructive reduction to practice of the subject matter described in the application.” </w:t>
      </w:r>
      <w:r w:rsidRPr="001879FA">
        <w:t>Hyatt v. Boone, 146 F.3d 1348, 1352 (Fed. Cir. 1998).</w:t>
      </w:r>
    </w:p>
  </w:footnote>
  <w:footnote w:id="33">
    <w:p w14:paraId="1A228469" w14:textId="77777777" w:rsidR="00E81370" w:rsidRPr="001879FA" w:rsidRDefault="00E81370" w:rsidP="0097752F">
      <w:pPr>
        <w:pStyle w:val="Heading3"/>
        <w:shd w:val="clear" w:color="auto" w:fill="FFFFFF"/>
        <w:tabs>
          <w:tab w:val="clear" w:pos="360"/>
          <w:tab w:val="left" w:pos="-90"/>
        </w:tabs>
        <w:ind w:left="0" w:firstLine="0"/>
        <w:rPr>
          <w:sz w:val="20"/>
          <w:szCs w:val="20"/>
        </w:rPr>
      </w:pPr>
      <w:r w:rsidRPr="00375C2E">
        <w:rPr>
          <w:sz w:val="20"/>
          <w:szCs w:val="20"/>
          <w:vertAlign w:val="superscript"/>
        </w:rPr>
        <w:footnoteRef/>
      </w:r>
      <w:r w:rsidRPr="0067460F">
        <w:rPr>
          <w:i/>
          <w:iCs/>
          <w:sz w:val="20"/>
          <w:szCs w:val="20"/>
        </w:rPr>
        <w:t>See also</w:t>
      </w:r>
      <w:r w:rsidRPr="003257C1">
        <w:rPr>
          <w:sz w:val="20"/>
          <w:szCs w:val="20"/>
        </w:rPr>
        <w:t xml:space="preserve">, Editorial, </w:t>
      </w:r>
      <w:r w:rsidRPr="003257C1">
        <w:rPr>
          <w:i/>
          <w:sz w:val="20"/>
          <w:szCs w:val="20"/>
        </w:rPr>
        <w:t>Abstract Ideas Don</w:t>
      </w:r>
      <w:r w:rsidRPr="008259DB">
        <w:rPr>
          <w:i/>
          <w:sz w:val="20"/>
          <w:szCs w:val="20"/>
        </w:rPr>
        <w:t>’</w:t>
      </w:r>
      <w:r w:rsidRPr="000679EB">
        <w:rPr>
          <w:i/>
          <w:sz w:val="20"/>
          <w:szCs w:val="20"/>
        </w:rPr>
        <w:t>t Deserve Patents</w:t>
      </w:r>
      <w:r w:rsidRPr="0067460F">
        <w:rPr>
          <w:sz w:val="20"/>
          <w:szCs w:val="20"/>
        </w:rPr>
        <w:t>, N.Y. T</w:t>
      </w:r>
      <w:r w:rsidRPr="003257C1">
        <w:rPr>
          <w:smallCaps/>
          <w:sz w:val="20"/>
          <w:szCs w:val="20"/>
        </w:rPr>
        <w:t>imes</w:t>
      </w:r>
      <w:r w:rsidRPr="003257C1">
        <w:rPr>
          <w:sz w:val="20"/>
          <w:szCs w:val="20"/>
        </w:rPr>
        <w:t>,</w:t>
      </w:r>
      <w:r w:rsidRPr="003257C1">
        <w:rPr>
          <w:color w:val="333333"/>
          <w:sz w:val="20"/>
          <w:szCs w:val="20"/>
          <w:u w:color="333333"/>
        </w:rPr>
        <w:t xml:space="preserve"> March 29, 2014, at SR10; </w:t>
      </w:r>
      <w:r w:rsidRPr="003257C1">
        <w:rPr>
          <w:sz w:val="20"/>
          <w:szCs w:val="20"/>
        </w:rPr>
        <w:t xml:space="preserve">On the challenges in drawing the lines between concrete and abstract patent claims, </w:t>
      </w:r>
      <w:r w:rsidRPr="003257C1">
        <w:rPr>
          <w:i/>
          <w:iCs/>
          <w:sz w:val="20"/>
          <w:szCs w:val="20"/>
        </w:rPr>
        <w:t>see also</w:t>
      </w:r>
      <w:r w:rsidRPr="003257C1">
        <w:rPr>
          <w:sz w:val="20"/>
          <w:szCs w:val="20"/>
        </w:rPr>
        <w:t xml:space="preserve">, Tun-Jen Chiang, </w:t>
      </w:r>
      <w:r w:rsidRPr="003257C1">
        <w:rPr>
          <w:i/>
          <w:iCs/>
          <w:sz w:val="20"/>
          <w:szCs w:val="20"/>
        </w:rPr>
        <w:t>The Levels of Abstraction Problem in Patent Law</w:t>
      </w:r>
      <w:r w:rsidRPr="003257C1">
        <w:rPr>
          <w:sz w:val="20"/>
          <w:szCs w:val="20"/>
        </w:rPr>
        <w:t>, 105 N</w:t>
      </w:r>
      <w:r>
        <w:rPr>
          <w:smallCaps/>
          <w:sz w:val="20"/>
          <w:szCs w:val="20"/>
        </w:rPr>
        <w:t>w</w:t>
      </w:r>
      <w:r w:rsidRPr="003257C1">
        <w:rPr>
          <w:sz w:val="20"/>
          <w:szCs w:val="20"/>
        </w:rPr>
        <w:t>. U. L. REV. 1097, 1122-24 (2011</w:t>
      </w:r>
      <w:r w:rsidRPr="003257C1">
        <w:rPr>
          <w:color w:val="auto"/>
          <w:sz w:val="20"/>
          <w:szCs w:val="20"/>
        </w:rPr>
        <w:t xml:space="preserve">); </w:t>
      </w:r>
      <w:r w:rsidRPr="008259DB">
        <w:rPr>
          <w:color w:val="auto"/>
          <w:sz w:val="20"/>
          <w:szCs w:val="20"/>
        </w:rPr>
        <w:t xml:space="preserve">Tun-Jen Chiang &amp; Lawrence B. Solum, </w:t>
      </w:r>
      <w:r w:rsidRPr="008259DB">
        <w:rPr>
          <w:i/>
          <w:color w:val="auto"/>
          <w:sz w:val="20"/>
          <w:szCs w:val="20"/>
        </w:rPr>
        <w:t>The Interpretation-Construction Distinction in Patent Law</w:t>
      </w:r>
      <w:r w:rsidRPr="008259DB">
        <w:rPr>
          <w:color w:val="auto"/>
          <w:sz w:val="20"/>
          <w:szCs w:val="20"/>
        </w:rPr>
        <w:t xml:space="preserve">, 123 </w:t>
      </w:r>
      <w:r w:rsidRPr="008259DB">
        <w:rPr>
          <w:smallCaps/>
          <w:color w:val="auto"/>
          <w:sz w:val="20"/>
          <w:szCs w:val="20"/>
        </w:rPr>
        <w:t>Yale</w:t>
      </w:r>
      <w:r w:rsidRPr="008259DB">
        <w:rPr>
          <w:color w:val="auto"/>
          <w:sz w:val="20"/>
          <w:szCs w:val="20"/>
        </w:rPr>
        <w:t xml:space="preserve"> L.J. 530-614 (2013)</w:t>
      </w:r>
      <w:r>
        <w:rPr>
          <w:color w:val="auto"/>
          <w:sz w:val="20"/>
          <w:szCs w:val="20"/>
        </w:rPr>
        <w:t>.</w:t>
      </w:r>
    </w:p>
  </w:footnote>
  <w:footnote w:id="34">
    <w:p w14:paraId="393E5FE0" w14:textId="77777777" w:rsidR="00E81370" w:rsidRDefault="00E81370" w:rsidP="0097752F">
      <w:pPr>
        <w:pStyle w:val="FootnoteText"/>
        <w:tabs>
          <w:tab w:val="left" w:pos="-90"/>
        </w:tabs>
        <w:ind w:firstLine="0"/>
      </w:pPr>
      <w:r w:rsidRPr="001879FA">
        <w:rPr>
          <w:rStyle w:val="FootnoteReference"/>
        </w:rPr>
        <w:footnoteRef/>
      </w:r>
      <w:r w:rsidRPr="001879FA">
        <w:t xml:space="preserve"> </w:t>
      </w:r>
      <w:r w:rsidRPr="004C60E2">
        <w:rPr>
          <w:color w:val="auto"/>
          <w:bdr w:val="none" w:sz="0" w:space="0" w:color="auto"/>
        </w:rPr>
        <w:t xml:space="preserve">Alice Corp. Pty. Ltd. v. CLS Bank Int'l, </w:t>
      </w:r>
      <w:r>
        <w:rPr>
          <w:color w:val="auto"/>
          <w:bdr w:val="none" w:sz="0" w:space="0" w:color="auto"/>
        </w:rPr>
        <w:t xml:space="preserve">134 S. Ct. 2347 (2014). </w:t>
      </w:r>
    </w:p>
  </w:footnote>
  <w:footnote w:id="35">
    <w:p w14:paraId="28F0E2E7" w14:textId="77777777" w:rsidR="00E81370" w:rsidRPr="0067460F" w:rsidRDefault="00E81370" w:rsidP="0097752F">
      <w:pPr>
        <w:pStyle w:val="FootnoteText"/>
        <w:tabs>
          <w:tab w:val="left" w:pos="-90"/>
        </w:tabs>
        <w:ind w:firstLine="0"/>
      </w:pPr>
      <w:r w:rsidRPr="000679EB">
        <w:rPr>
          <w:vertAlign w:val="superscript"/>
        </w:rPr>
        <w:footnoteRef/>
      </w:r>
      <w:r w:rsidRPr="000679EB">
        <w:t xml:space="preserve"> Baker v. Selden, 101 U.S. 99 (1879).</w:t>
      </w:r>
    </w:p>
  </w:footnote>
  <w:footnote w:id="36">
    <w:p w14:paraId="3C3D792E" w14:textId="77777777" w:rsidR="00E81370" w:rsidRDefault="00E81370" w:rsidP="002F5BA9">
      <w:pPr>
        <w:pStyle w:val="FootnoteText"/>
        <w:ind w:firstLine="0"/>
      </w:pPr>
      <w:r>
        <w:rPr>
          <w:rStyle w:val="FootnoteReference"/>
        </w:rPr>
        <w:footnoteRef/>
      </w:r>
      <w:r>
        <w:t xml:space="preserve"> </w:t>
      </w:r>
      <w:r w:rsidRPr="00016B9E">
        <w:rPr>
          <w:rFonts w:ascii="Times" w:eastAsia="Times" w:hAnsi="Times" w:cs="Times"/>
        </w:rPr>
        <w:t>Mattel, Inc. v. MGA Entm't, Inc., 616 F.3d 904, 909 (9th Cir. 2010).</w:t>
      </w:r>
    </w:p>
  </w:footnote>
  <w:footnote w:id="37">
    <w:p w14:paraId="1D5EBB92" w14:textId="77777777" w:rsidR="00E81370" w:rsidRDefault="00E81370" w:rsidP="00717FC1">
      <w:pPr>
        <w:pStyle w:val="FootnoteText"/>
        <w:ind w:firstLine="0"/>
      </w:pPr>
      <w:r>
        <w:rPr>
          <w:rStyle w:val="FootnoteReference"/>
        </w:rPr>
        <w:footnoteRef/>
      </w:r>
      <w:r>
        <w:t xml:space="preserve"> </w:t>
      </w:r>
      <w:r w:rsidRPr="00AB2860">
        <w:t xml:space="preserve">Reuters, </w:t>
      </w:r>
      <w:r w:rsidRPr="00AB2860">
        <w:rPr>
          <w:i/>
          <w:iCs/>
        </w:rPr>
        <w:t>Jury Rules for Mattel in Bratz Doll Case</w:t>
      </w:r>
      <w:r w:rsidRPr="00AB2860">
        <w:t xml:space="preserve">, </w:t>
      </w:r>
      <w:r w:rsidRPr="00AB2860">
        <w:rPr>
          <w:smallCaps/>
        </w:rPr>
        <w:t>N.Y. Times</w:t>
      </w:r>
      <w:r w:rsidRPr="00AB2860">
        <w:t>, July 18, 2008.</w:t>
      </w:r>
    </w:p>
  </w:footnote>
  <w:footnote w:id="38">
    <w:p w14:paraId="564E8C0E" w14:textId="77777777" w:rsidR="00E81370" w:rsidRPr="00AC7FED" w:rsidRDefault="00E81370" w:rsidP="0034670A">
      <w:pPr>
        <w:pStyle w:val="FootnoteText"/>
        <w:ind w:firstLine="0"/>
      </w:pPr>
      <w:r w:rsidRPr="00AC7FED">
        <w:rPr>
          <w:rStyle w:val="FootnoteReference"/>
        </w:rPr>
        <w:footnoteRef/>
      </w:r>
      <w:r w:rsidRPr="00B602F2">
        <w:t xml:space="preserve"> </w:t>
      </w:r>
      <w:r w:rsidRPr="002C626D">
        <w:t xml:space="preserve">Gillian Flaccus, </w:t>
      </w:r>
      <w:r w:rsidRPr="00C66CEA">
        <w:rPr>
          <w:i/>
          <w:iCs/>
        </w:rPr>
        <w:t xml:space="preserve">Mattel </w:t>
      </w:r>
      <w:r w:rsidRPr="00464A3B">
        <w:rPr>
          <w:i/>
          <w:iCs/>
        </w:rPr>
        <w:t>A</w:t>
      </w:r>
      <w:r w:rsidRPr="002C626D">
        <w:rPr>
          <w:i/>
          <w:iCs/>
        </w:rPr>
        <w:t>warded $100M in Bratz</w:t>
      </w:r>
      <w:r>
        <w:rPr>
          <w:i/>
          <w:iCs/>
        </w:rPr>
        <w:t xml:space="preserve"> </w:t>
      </w:r>
      <w:r w:rsidRPr="002C626D">
        <w:rPr>
          <w:i/>
          <w:iCs/>
        </w:rPr>
        <w:t>D</w:t>
      </w:r>
      <w:r w:rsidRPr="00C66CEA">
        <w:rPr>
          <w:i/>
          <w:iCs/>
        </w:rPr>
        <w:t xml:space="preserve">olls </w:t>
      </w:r>
      <w:r w:rsidRPr="00464A3B">
        <w:rPr>
          <w:i/>
          <w:iCs/>
        </w:rPr>
        <w:t xml:space="preserve">Copyright </w:t>
      </w:r>
      <w:r w:rsidRPr="00AB2860">
        <w:rPr>
          <w:i/>
          <w:iCs/>
        </w:rPr>
        <w:t>Case</w:t>
      </w:r>
      <w:r w:rsidRPr="00AB2860">
        <w:t xml:space="preserve">, </w:t>
      </w:r>
      <w:r w:rsidRPr="00AB2860">
        <w:rPr>
          <w:smallCaps/>
        </w:rPr>
        <w:t>USA Today</w:t>
      </w:r>
      <w:r w:rsidRPr="00AB2860">
        <w:t xml:space="preserve">, August 27, 2008, available at http://www.usatoday.com/money/industries/retail/2008-08-26-mattel-bratz-dolls_N.htm.  </w:t>
      </w:r>
    </w:p>
  </w:footnote>
  <w:footnote w:id="39">
    <w:p w14:paraId="1E5FE1E2" w14:textId="77777777" w:rsidR="00E81370" w:rsidRPr="00443D7C" w:rsidRDefault="00E81370">
      <w:pPr>
        <w:pStyle w:val="FootnoteText"/>
        <w:ind w:firstLine="0"/>
      </w:pPr>
      <w:r w:rsidRPr="00A34080">
        <w:rPr>
          <w:vertAlign w:val="superscript"/>
        </w:rPr>
        <w:footnoteRef/>
      </w:r>
      <w:r w:rsidRPr="00A34080">
        <w:rPr>
          <w:rFonts w:eastAsia="Times"/>
        </w:rPr>
        <w:t xml:space="preserve"> Mattel, Inc. v. MGA Entm't, Inc., 616 F.3d 904, 909 (9th Cir. 2010).</w:t>
      </w:r>
    </w:p>
  </w:footnote>
  <w:footnote w:id="40">
    <w:p w14:paraId="5F696B0C" w14:textId="77777777" w:rsidR="00E81370" w:rsidRPr="00C86A8F" w:rsidRDefault="00E81370" w:rsidP="00FA24DA">
      <w:pPr>
        <w:pStyle w:val="FootnoteText"/>
        <w:ind w:firstLine="0"/>
      </w:pPr>
      <w:r w:rsidRPr="00A34080">
        <w:rPr>
          <w:rStyle w:val="FootnoteReference"/>
        </w:rPr>
        <w:footnoteRef/>
      </w:r>
      <w:r w:rsidRPr="00A34080">
        <w:t xml:space="preserve"> </w:t>
      </w:r>
      <w:r w:rsidRPr="00A34080">
        <w:rPr>
          <w:i/>
          <w:iCs/>
        </w:rPr>
        <w:t>Id</w:t>
      </w:r>
      <w:r w:rsidRPr="00443D7C">
        <w:t>.</w:t>
      </w:r>
    </w:p>
  </w:footnote>
  <w:footnote w:id="41">
    <w:p w14:paraId="1C67A082" w14:textId="77777777" w:rsidR="00E81370" w:rsidRDefault="00E81370" w:rsidP="006B37DC">
      <w:pPr>
        <w:pStyle w:val="FootnoteText"/>
        <w:ind w:firstLine="0"/>
      </w:pPr>
      <w:r>
        <w:rPr>
          <w:rStyle w:val="FootnoteReference"/>
        </w:rPr>
        <w:footnoteRef/>
      </w:r>
      <w:r>
        <w:t xml:space="preserve"> </w:t>
      </w:r>
      <w:r>
        <w:rPr>
          <w:color w:val="auto"/>
        </w:rPr>
        <w:t xml:space="preserve">The Ninth Circuit remanded the Bryant case and the district court ultimately ordered a new trial. </w:t>
      </w:r>
      <w:r>
        <w:t xml:space="preserve">Mattel, Inc. v. MGA Entm’t, Inc., 782 F. Supp. 2d 911, 942 (2010). </w:t>
      </w:r>
      <w:r>
        <w:rPr>
          <w:color w:val="auto"/>
        </w:rPr>
        <w:t>On the eve of the first trial, Mattel entered into a settlement agreement with Bryant, thus leaving claims against MGA that included intentional interference with contract, aiding and abetting of fiduciary duty, and copyright infringement. Various counterclaims were filed by both parties, including claims against each other for trade secret misappropriation. In 2011, the district court rendered judgment on the merits pursuant in a jury verdict that awarded MGA more than 80 million dollars in damages.  The district court then “awarded MGA an equal amount in exemplary damages” and “the court also awarded trade-secret attorneys’ fees and costs.” Also, because the jury found for MGA on Mattel’s copyright claim, MGA was awarded attorneys’ fees and costs under the Copyright Act.  On appeal, the Ninth Circuit vacated the verdict for MGA’s trade-secret claim as well as the related damages, fees and costs.</w:t>
      </w:r>
      <w:r>
        <w:rPr>
          <w:rStyle w:val="FootnoteReference"/>
          <w:color w:val="auto"/>
        </w:rPr>
        <w:footnoteRef/>
      </w:r>
      <w:r>
        <w:rPr>
          <w:color w:val="auto"/>
        </w:rPr>
        <w:t xml:space="preserve">  The Ninth Circuit did affirm the district court’s award of fees and costs to MGA under its Copyright Act claim. </w:t>
      </w:r>
      <w:r>
        <w:t>MGA Entm’t, Inc. v. Mattel, Inc., 2012 U.S. Dist. Lexis 22055 (2012); Mattel, Inc. v. MGA Entm’t,, Inc., 705 F.3d 1108, 1110 (2013).</w:t>
      </w:r>
    </w:p>
  </w:footnote>
  <w:footnote w:id="42">
    <w:p w14:paraId="6A3CA44B" w14:textId="77777777" w:rsidR="00E81370" w:rsidRDefault="00E81370" w:rsidP="00A452FA">
      <w:pPr>
        <w:pStyle w:val="FootnoteText"/>
        <w:ind w:firstLine="0"/>
      </w:pPr>
      <w:r w:rsidRPr="001D7A18">
        <w:rPr>
          <w:rStyle w:val="FootnoteReference"/>
        </w:rPr>
        <w:footnoteRef/>
      </w:r>
      <w:r w:rsidRPr="001D7A18">
        <w:t xml:space="preserve"> </w:t>
      </w:r>
      <w:hyperlink r:id="rId4" w:tooltip="s:White v. Samsung Electronics America, Inc./En banc Opinion" w:history="1">
        <w:r w:rsidRPr="00375C2E">
          <w:rPr>
            <w:iCs/>
            <w:color w:val="auto"/>
            <w:lang w:bidi="he-IL"/>
          </w:rPr>
          <w:t>White v. Samsung Electronics America, Inc.</w:t>
        </w:r>
      </w:hyperlink>
      <w:r w:rsidRPr="00375C2E">
        <w:rPr>
          <w:iCs/>
          <w:color w:val="auto"/>
          <w:lang w:bidi="he-IL"/>
        </w:rPr>
        <w:t>, </w:t>
      </w:r>
      <w:hyperlink r:id="rId5" w:tooltip="Legal citation" w:history="1">
        <w:r w:rsidRPr="00375C2E">
          <w:rPr>
            <w:iCs/>
            <w:color w:val="auto"/>
            <w:lang w:bidi="he-IL"/>
          </w:rPr>
          <w:t>989 F.2d 1512, 1512</w:t>
        </w:r>
      </w:hyperlink>
      <w:r w:rsidRPr="00375C2E">
        <w:rPr>
          <w:iCs/>
          <w:color w:val="auto"/>
          <w:lang w:bidi="he-IL"/>
        </w:rPr>
        <w:t> (9th Cir. 1993)</w:t>
      </w:r>
      <w:r w:rsidRPr="00375C2E">
        <w:rPr>
          <w:color w:val="auto"/>
        </w:rPr>
        <w:t xml:space="preserve"> (Judge </w:t>
      </w:r>
      <w:r>
        <w:rPr>
          <w:color w:val="auto"/>
        </w:rPr>
        <w:t>Kozinski’s</w:t>
      </w:r>
      <w:r w:rsidRPr="00375C2E">
        <w:rPr>
          <w:color w:val="auto"/>
        </w:rPr>
        <w:t xml:space="preserve"> much quoted statement that </w:t>
      </w:r>
      <w:r>
        <w:rPr>
          <w:color w:val="auto"/>
          <w:shd w:val="clear" w:color="auto" w:fill="FFFFFF"/>
        </w:rPr>
        <w:t>“</w:t>
      </w:r>
      <w:r w:rsidRPr="00375C2E">
        <w:rPr>
          <w:color w:val="auto"/>
          <w:shd w:val="clear" w:color="auto" w:fill="FFFFFF"/>
        </w:rPr>
        <w:t>overprotecting intellectual property is as harmful as underprotecting it</w:t>
      </w:r>
      <w:r w:rsidRPr="00375C2E">
        <w:rPr>
          <w:rStyle w:val="apple-converted-space"/>
          <w:color w:val="auto"/>
          <w:shd w:val="clear" w:color="auto" w:fill="FFFFFF"/>
        </w:rPr>
        <w:t>”)</w:t>
      </w:r>
      <w:r>
        <w:rPr>
          <w:rStyle w:val="apple-converted-space"/>
          <w:color w:val="auto"/>
          <w:shd w:val="clear" w:color="auto" w:fill="FFFFFF"/>
        </w:rPr>
        <w:t>.</w:t>
      </w:r>
    </w:p>
  </w:footnote>
  <w:footnote w:id="43">
    <w:p w14:paraId="3377B188" w14:textId="77777777" w:rsidR="00E81370" w:rsidRDefault="00E81370" w:rsidP="005D22B1">
      <w:pPr>
        <w:pStyle w:val="FootnoteText"/>
        <w:ind w:firstLine="0"/>
      </w:pPr>
      <w:r>
        <w:rPr>
          <w:rStyle w:val="FootnoteReference"/>
        </w:rPr>
        <w:footnoteRef/>
      </w:r>
      <w:r>
        <w:t xml:space="preserve"> </w:t>
      </w:r>
      <w:r w:rsidRPr="00A34080">
        <w:rPr>
          <w:rFonts w:eastAsia="Times"/>
        </w:rPr>
        <w:t>Mattel, Inc. v. MGA</w:t>
      </w:r>
      <w:r>
        <w:rPr>
          <w:rFonts w:eastAsia="Times"/>
        </w:rPr>
        <w:t xml:space="preserve"> Entm't, Inc., 616 F.3d 904, 913</w:t>
      </w:r>
      <w:r w:rsidRPr="00A34080">
        <w:rPr>
          <w:rFonts w:eastAsia="Times"/>
        </w:rPr>
        <w:t xml:space="preserve"> (9th Cir. 2010).</w:t>
      </w:r>
    </w:p>
  </w:footnote>
  <w:footnote w:id="44">
    <w:p w14:paraId="11E2718C" w14:textId="77777777" w:rsidR="00E81370" w:rsidRPr="00016B9E" w:rsidRDefault="00E81370">
      <w:pPr>
        <w:spacing w:before="100" w:after="100"/>
        <w:ind w:firstLine="0"/>
        <w:rPr>
          <w:i/>
          <w:iCs/>
          <w:sz w:val="20"/>
          <w:szCs w:val="20"/>
        </w:rPr>
      </w:pPr>
      <w:r w:rsidRPr="00016B9E">
        <w:rPr>
          <w:sz w:val="20"/>
          <w:szCs w:val="20"/>
          <w:vertAlign w:val="superscript"/>
        </w:rPr>
        <w:footnoteRef/>
      </w:r>
      <w:r w:rsidRPr="00016B9E">
        <w:rPr>
          <w:sz w:val="20"/>
          <w:szCs w:val="20"/>
        </w:rPr>
        <w:t xml:space="preserve">Google Inc., </w:t>
      </w:r>
      <w:r>
        <w:rPr>
          <w:rFonts w:hAnsi="Times New Roman"/>
          <w:smallCaps/>
          <w:sz w:val="20"/>
          <w:szCs w:val="20"/>
        </w:rPr>
        <w:t xml:space="preserve">At-Will Employment, Confidential Information, Invention Assignment and Arbitration Agreement, </w:t>
      </w:r>
      <w:r w:rsidRPr="00016B9E">
        <w:rPr>
          <w:sz w:val="20"/>
          <w:szCs w:val="20"/>
        </w:rPr>
        <w:t xml:space="preserve">on file with author, </w:t>
      </w:r>
      <w:r w:rsidRPr="00016B9E">
        <w:rPr>
          <w:i/>
          <w:iCs/>
          <w:sz w:val="20"/>
          <w:szCs w:val="20"/>
        </w:rPr>
        <w:t>Eff. Date Mar. 2014 CA Version.</w:t>
      </w:r>
    </w:p>
  </w:footnote>
  <w:footnote w:id="45">
    <w:p w14:paraId="372AB1BF" w14:textId="77777777" w:rsidR="00E81370" w:rsidRPr="00016B9E" w:rsidRDefault="00E81370">
      <w:pPr>
        <w:pStyle w:val="FootnoteText"/>
        <w:ind w:firstLine="0"/>
      </w:pPr>
      <w:r w:rsidRPr="00016B9E">
        <w:rPr>
          <w:vertAlign w:val="superscript"/>
        </w:rPr>
        <w:footnoteRef/>
      </w:r>
      <w:r w:rsidRPr="00016B9E">
        <w:rPr>
          <w:shd w:val="clear" w:color="auto" w:fill="FFFFFF"/>
        </w:rPr>
        <w:t xml:space="preserve">Michael Lewis, </w:t>
      </w:r>
      <w:r w:rsidRPr="00016B9E">
        <w:rPr>
          <w:i/>
          <w:iCs/>
          <w:shd w:val="clear" w:color="auto" w:fill="FFFFFF"/>
        </w:rPr>
        <w:t>Did Goldman Sachs Overstep in Criminally Charging Its Ex-Programmer?</w:t>
      </w:r>
      <w:r w:rsidRPr="00016B9E">
        <w:rPr>
          <w:shd w:val="clear" w:color="auto" w:fill="FFFFFF"/>
        </w:rPr>
        <w:t>,</w:t>
      </w:r>
      <w:r>
        <w:rPr>
          <w:shd w:val="clear" w:color="auto" w:fill="FFFFFF"/>
        </w:rPr>
        <w:t xml:space="preserve"> </w:t>
      </w:r>
      <w:r w:rsidRPr="00016B9E">
        <w:rPr>
          <w:smallCaps/>
          <w:shd w:val="clear" w:color="auto" w:fill="FFFFFF"/>
        </w:rPr>
        <w:t>Vanity Fair</w:t>
      </w:r>
      <w:r w:rsidRPr="00016B9E">
        <w:rPr>
          <w:shd w:val="clear" w:color="auto" w:fill="FFFFFF"/>
        </w:rPr>
        <w:t>, Sept</w:t>
      </w:r>
      <w:r>
        <w:rPr>
          <w:shd w:val="clear" w:color="auto" w:fill="FFFFFF"/>
        </w:rPr>
        <w:t>.</w:t>
      </w:r>
      <w:r w:rsidRPr="00016B9E">
        <w:rPr>
          <w:shd w:val="clear" w:color="auto" w:fill="FFFFFF"/>
        </w:rPr>
        <w:t xml:space="preserve"> 2013. </w:t>
      </w:r>
    </w:p>
  </w:footnote>
  <w:footnote w:id="46">
    <w:p w14:paraId="7BF1B477" w14:textId="77777777" w:rsidR="00E81370" w:rsidRPr="00016B9E" w:rsidRDefault="00E81370" w:rsidP="00FA24DA">
      <w:pPr>
        <w:pStyle w:val="FootnoteText"/>
        <w:ind w:firstLine="0"/>
      </w:pPr>
      <w:r w:rsidRPr="00016B9E">
        <w:rPr>
          <w:vertAlign w:val="superscript"/>
        </w:rPr>
        <w:footnoteRef/>
      </w:r>
      <w:r w:rsidRPr="00016B9E">
        <w:t xml:space="preserve"> </w:t>
      </w:r>
      <w:r w:rsidRPr="0016088E">
        <w:rPr>
          <w:i/>
          <w:iCs/>
        </w:rPr>
        <w:t>Id</w:t>
      </w:r>
      <w:r w:rsidRPr="00016B9E">
        <w:t xml:space="preserve">. </w:t>
      </w:r>
    </w:p>
  </w:footnote>
  <w:footnote w:id="47">
    <w:p w14:paraId="02A52F65" w14:textId="77777777" w:rsidR="00E81370" w:rsidRDefault="00E81370" w:rsidP="00FA24DA">
      <w:pPr>
        <w:pStyle w:val="FootnoteText"/>
        <w:ind w:firstLine="0"/>
      </w:pPr>
      <w:r>
        <w:rPr>
          <w:rStyle w:val="FootnoteReference"/>
        </w:rPr>
        <w:footnoteRef/>
      </w:r>
      <w:r>
        <w:t xml:space="preserve"> </w:t>
      </w:r>
      <w:r w:rsidRPr="0016088E">
        <w:rPr>
          <w:i/>
          <w:iCs/>
        </w:rPr>
        <w:t>Id</w:t>
      </w:r>
      <w:r>
        <w:t>.</w:t>
      </w:r>
    </w:p>
  </w:footnote>
  <w:footnote w:id="48">
    <w:p w14:paraId="1617FA67" w14:textId="77777777" w:rsidR="00E81370" w:rsidRPr="00016B9E" w:rsidRDefault="00E81370">
      <w:pPr>
        <w:pStyle w:val="FootnoteText"/>
        <w:ind w:firstLine="0"/>
      </w:pPr>
      <w:r w:rsidRPr="00016B9E">
        <w:rPr>
          <w:vertAlign w:val="superscript"/>
        </w:rPr>
        <w:footnoteRef/>
      </w:r>
      <w:r>
        <w:t xml:space="preserve">Joel Spolsky, </w:t>
      </w:r>
      <w:r>
        <w:rPr>
          <w:i/>
        </w:rPr>
        <w:t xml:space="preserve">Things You Should Never Do, Part I, </w:t>
      </w:r>
      <w:r>
        <w:rPr>
          <w:i/>
          <w:iCs/>
          <w:smallCaps/>
        </w:rPr>
        <w:t xml:space="preserve">Joel on </w:t>
      </w:r>
      <w:r>
        <w:rPr>
          <w:i/>
          <w:iCs/>
        </w:rPr>
        <w:t>S</w:t>
      </w:r>
      <w:r>
        <w:rPr>
          <w:i/>
          <w:iCs/>
          <w:smallCaps/>
        </w:rPr>
        <w:t>oftware</w:t>
      </w:r>
      <w:r>
        <w:rPr>
          <w:i/>
          <w:iCs/>
        </w:rPr>
        <w:t xml:space="preserve">, (Apr. 6, 2000), </w:t>
      </w:r>
      <w:r w:rsidRPr="00F00A9B">
        <w:t>http://www.joelonsoftware.com/articles/fog0000000069.html (last visited May 14, 2014).</w:t>
      </w:r>
    </w:p>
  </w:footnote>
  <w:footnote w:id="49">
    <w:p w14:paraId="30EE0A8D" w14:textId="77777777" w:rsidR="00E81370" w:rsidRPr="00375C2E" w:rsidRDefault="00E81370" w:rsidP="0016088E">
      <w:pPr>
        <w:pStyle w:val="FootnoteText"/>
        <w:ind w:firstLine="0"/>
        <w:rPr>
          <w:color w:val="auto"/>
        </w:rPr>
      </w:pPr>
      <w:r w:rsidRPr="00375C2E">
        <w:rPr>
          <w:rStyle w:val="FootnoteReference"/>
          <w:color w:val="auto"/>
        </w:rPr>
        <w:footnoteRef/>
      </w:r>
      <w:r w:rsidRPr="00375C2E">
        <w:rPr>
          <w:color w:val="auto"/>
        </w:rPr>
        <w:t xml:space="preserve"> </w:t>
      </w:r>
      <w:r w:rsidRPr="009342B8">
        <w:rPr>
          <w:i/>
          <w:color w:val="auto"/>
        </w:rPr>
        <w:t>See generally</w:t>
      </w:r>
      <w:r w:rsidRPr="00375C2E">
        <w:rPr>
          <w:color w:val="auto"/>
        </w:rPr>
        <w:t xml:space="preserve">, Orly Lobel, </w:t>
      </w:r>
      <w:r w:rsidRPr="00375C2E">
        <w:rPr>
          <w:i/>
          <w:color w:val="auto"/>
        </w:rPr>
        <w:t>Intellectual Property and Restrictive Covenants</w:t>
      </w:r>
      <w:r w:rsidRPr="00375C2E">
        <w:rPr>
          <w:color w:val="auto"/>
        </w:rPr>
        <w:t xml:space="preserve">, in </w:t>
      </w:r>
      <w:r w:rsidRPr="00375C2E">
        <w:rPr>
          <w:smallCaps/>
          <w:color w:val="auto"/>
        </w:rPr>
        <w:t xml:space="preserve">Elgar Encyclopedia of </w:t>
      </w:r>
      <w:r>
        <w:rPr>
          <w:smallCaps/>
        </w:rPr>
        <w:t xml:space="preserve">Employ’t </w:t>
      </w:r>
      <w:r w:rsidRPr="00375C2E">
        <w:rPr>
          <w:smallCaps/>
          <w:color w:val="auto"/>
        </w:rPr>
        <w:t>L. and Econ.</w:t>
      </w:r>
      <w:r w:rsidRPr="00375C2E">
        <w:rPr>
          <w:color w:val="auto"/>
        </w:rPr>
        <w:t xml:space="preserve"> (Dau-Schmidt, Harris &amp; Lobel eds. 2009).</w:t>
      </w:r>
    </w:p>
  </w:footnote>
  <w:footnote w:id="50">
    <w:p w14:paraId="3717987E" w14:textId="77777777" w:rsidR="00E81370" w:rsidRPr="00375C2E" w:rsidRDefault="00E81370" w:rsidP="002753C6">
      <w:pPr>
        <w:pStyle w:val="FootnoteText"/>
        <w:ind w:firstLine="0"/>
        <w:rPr>
          <w:color w:val="auto"/>
        </w:rPr>
      </w:pPr>
      <w:r w:rsidRPr="00375C2E">
        <w:rPr>
          <w:rStyle w:val="FootnoteReference"/>
          <w:color w:val="auto"/>
        </w:rPr>
        <w:footnoteRef/>
      </w:r>
      <w:r w:rsidRPr="00375C2E">
        <w:rPr>
          <w:color w:val="auto"/>
        </w:rPr>
        <w:t xml:space="preserve"> </w:t>
      </w:r>
      <w:r w:rsidRPr="00375C2E">
        <w:rPr>
          <w:color w:val="auto"/>
          <w:shd w:val="clear" w:color="auto" w:fill="FFFFFF"/>
        </w:rPr>
        <w:t xml:space="preserve">Mark A. Lemley, </w:t>
      </w:r>
      <w:r w:rsidRPr="00375C2E">
        <w:rPr>
          <w:i/>
          <w:color w:val="auto"/>
          <w:shd w:val="clear" w:color="auto" w:fill="FFFFFF"/>
        </w:rPr>
        <w:t>The</w:t>
      </w:r>
      <w:r w:rsidRPr="00375C2E">
        <w:rPr>
          <w:rStyle w:val="apple-converted-space"/>
          <w:i/>
          <w:color w:val="auto"/>
          <w:shd w:val="clear" w:color="auto" w:fill="FFFFFF"/>
        </w:rPr>
        <w:t> </w:t>
      </w:r>
      <w:r w:rsidRPr="00375C2E">
        <w:rPr>
          <w:rStyle w:val="Emphasis"/>
          <w:bCs/>
          <w:iCs w:val="0"/>
          <w:color w:val="auto"/>
          <w:shd w:val="clear" w:color="auto" w:fill="FFFFFF"/>
        </w:rPr>
        <w:t>Surprising Virtues of Treating Trade Secrets</w:t>
      </w:r>
      <w:r w:rsidRPr="00375C2E">
        <w:rPr>
          <w:rStyle w:val="apple-converted-space"/>
          <w:i/>
          <w:color w:val="auto"/>
          <w:shd w:val="clear" w:color="auto" w:fill="FFFFFF"/>
        </w:rPr>
        <w:t> </w:t>
      </w:r>
      <w:r w:rsidRPr="00375C2E">
        <w:rPr>
          <w:i/>
          <w:color w:val="auto"/>
          <w:shd w:val="clear" w:color="auto" w:fill="FFFFFF"/>
        </w:rPr>
        <w:t>as</w:t>
      </w:r>
      <w:r w:rsidRPr="00375C2E">
        <w:rPr>
          <w:rStyle w:val="apple-converted-space"/>
          <w:i/>
          <w:color w:val="auto"/>
          <w:shd w:val="clear" w:color="auto" w:fill="FFFFFF"/>
        </w:rPr>
        <w:t> </w:t>
      </w:r>
      <w:r w:rsidRPr="00375C2E">
        <w:rPr>
          <w:rStyle w:val="Emphasis"/>
          <w:bCs/>
          <w:iCs w:val="0"/>
          <w:color w:val="auto"/>
          <w:shd w:val="clear" w:color="auto" w:fill="FFFFFF"/>
        </w:rPr>
        <w:t>Intellectual Property Rights</w:t>
      </w:r>
      <w:r w:rsidRPr="00375C2E">
        <w:rPr>
          <w:color w:val="auto"/>
          <w:shd w:val="clear" w:color="auto" w:fill="FFFFFF"/>
        </w:rPr>
        <w:t>,</w:t>
      </w:r>
      <w:r w:rsidRPr="00375C2E">
        <w:rPr>
          <w:rStyle w:val="apple-converted-space"/>
          <w:color w:val="auto"/>
          <w:shd w:val="clear" w:color="auto" w:fill="FFFFFF"/>
        </w:rPr>
        <w:t> </w:t>
      </w:r>
      <w:r w:rsidRPr="00375C2E">
        <w:rPr>
          <w:rStyle w:val="Emphasis"/>
          <w:bCs/>
          <w:i w:val="0"/>
          <w:iCs w:val="0"/>
          <w:color w:val="auto"/>
          <w:shd w:val="clear" w:color="auto" w:fill="FFFFFF"/>
        </w:rPr>
        <w:t xml:space="preserve">61 </w:t>
      </w:r>
      <w:r>
        <w:rPr>
          <w:rStyle w:val="Emphasis"/>
          <w:i w:val="0"/>
          <w:iCs w:val="0"/>
          <w:smallCaps/>
          <w:color w:val="auto"/>
          <w:shd w:val="clear" w:color="auto" w:fill="FFFFFF"/>
        </w:rPr>
        <w:t>Stan. L. Rev.</w:t>
      </w:r>
      <w:r w:rsidRPr="00375C2E">
        <w:rPr>
          <w:color w:val="auto"/>
          <w:shd w:val="clear" w:color="auto" w:fill="FFFFFF"/>
        </w:rPr>
        <w:t xml:space="preserve"> 311 (2008).</w:t>
      </w:r>
    </w:p>
  </w:footnote>
  <w:footnote w:id="51">
    <w:p w14:paraId="1F41E860" w14:textId="77777777" w:rsidR="00E81370" w:rsidRPr="00016B9E" w:rsidRDefault="00E81370">
      <w:pPr>
        <w:pStyle w:val="FootnoteText"/>
        <w:ind w:firstLine="0"/>
      </w:pPr>
      <w:r w:rsidRPr="00375C2E">
        <w:rPr>
          <w:color w:val="auto"/>
          <w:vertAlign w:val="superscript"/>
        </w:rPr>
        <w:footnoteRef/>
      </w:r>
      <w:r>
        <w:rPr>
          <w:color w:val="auto"/>
        </w:rPr>
        <w:t xml:space="preserve"> </w:t>
      </w:r>
      <w:r w:rsidRPr="00016B9E">
        <w:t xml:space="preserve">Madhavi Sunder, </w:t>
      </w:r>
      <w:r w:rsidRPr="00016B9E">
        <w:rPr>
          <w:i/>
          <w:iCs/>
        </w:rPr>
        <w:t>Trade</w:t>
      </w:r>
      <w:r w:rsidRPr="00016B9E">
        <w:rPr>
          <w:rFonts w:hAnsi="Arial Unicode MS"/>
          <w:i/>
          <w:iCs/>
        </w:rPr>
        <w:t> </w:t>
      </w:r>
      <w:r w:rsidRPr="00016B9E">
        <w:rPr>
          <w:i/>
          <w:iCs/>
        </w:rPr>
        <w:t>Secrets</w:t>
      </w:r>
      <w:r w:rsidRPr="00016B9E">
        <w:rPr>
          <w:rFonts w:hAnsi="Arial Unicode MS"/>
          <w:i/>
          <w:iCs/>
        </w:rPr>
        <w:t> </w:t>
      </w:r>
      <w:r w:rsidRPr="00016B9E">
        <w:rPr>
          <w:i/>
          <w:iCs/>
        </w:rPr>
        <w:t>and</w:t>
      </w:r>
      <w:r w:rsidRPr="00016B9E">
        <w:rPr>
          <w:rFonts w:hAnsi="Arial Unicode MS"/>
          <w:i/>
          <w:iCs/>
        </w:rPr>
        <w:t> </w:t>
      </w:r>
      <w:r w:rsidRPr="00016B9E">
        <w:rPr>
          <w:i/>
          <w:iCs/>
        </w:rPr>
        <w:t>Human Freedom</w:t>
      </w:r>
      <w:r w:rsidRPr="00016B9E">
        <w:t xml:space="preserve">, in </w:t>
      </w:r>
      <w:r>
        <w:rPr>
          <w:smallCaps/>
        </w:rPr>
        <w:t xml:space="preserve">Intellectual Prop. and the Common Law </w:t>
      </w:r>
      <w:r w:rsidRPr="00016B9E">
        <w:t>(Cambridge University Press 2013).</w:t>
      </w:r>
    </w:p>
  </w:footnote>
  <w:footnote w:id="52">
    <w:p w14:paraId="3E7C731B" w14:textId="77777777" w:rsidR="00E81370" w:rsidRDefault="00E81370" w:rsidP="00FA24DA">
      <w:pPr>
        <w:pStyle w:val="FootnoteText"/>
        <w:ind w:firstLine="0"/>
      </w:pPr>
      <w:r>
        <w:rPr>
          <w:rStyle w:val="FootnoteReference"/>
        </w:rPr>
        <w:footnoteRef/>
      </w:r>
      <w:r>
        <w:t xml:space="preserve"> Lewis, </w:t>
      </w:r>
      <w:r w:rsidRPr="00375C2E">
        <w:rPr>
          <w:i/>
        </w:rPr>
        <w:t>supra</w:t>
      </w:r>
      <w:r>
        <w:t xml:space="preserve"> note </w:t>
      </w:r>
      <w:r>
        <w:fldChar w:fldCharType="begin"/>
      </w:r>
      <w:r>
        <w:instrText xml:space="preserve"> NOTEREF _Ref265933357 \h </w:instrText>
      </w:r>
      <w:r>
        <w:fldChar w:fldCharType="separate"/>
      </w:r>
      <w:r w:rsidR="0039144E">
        <w:t>43</w:t>
      </w:r>
      <w:r>
        <w:fldChar w:fldCharType="end"/>
      </w:r>
      <w:r>
        <w:t>.</w:t>
      </w:r>
    </w:p>
  </w:footnote>
  <w:footnote w:id="53">
    <w:p w14:paraId="4758B08B" w14:textId="77777777" w:rsidR="00E81370" w:rsidRPr="0067460F" w:rsidRDefault="00E81370">
      <w:pPr>
        <w:pStyle w:val="FootnoteText"/>
        <w:ind w:firstLine="0"/>
      </w:pPr>
      <w:r w:rsidRPr="00DD527F">
        <w:rPr>
          <w:vertAlign w:val="superscript"/>
        </w:rPr>
        <w:footnoteRef/>
      </w:r>
      <w:r w:rsidRPr="00DD527F">
        <w:rPr>
          <w:shd w:val="clear" w:color="auto" w:fill="FFFFFF"/>
        </w:rPr>
        <w:t xml:space="preserve">Michael Lewis, </w:t>
      </w:r>
      <w:r w:rsidRPr="00DD527F">
        <w:rPr>
          <w:i/>
          <w:iCs/>
          <w:shd w:val="clear" w:color="auto" w:fill="FFFFFF"/>
        </w:rPr>
        <w:t>Did Goldman Sachs Overstep in Criminally Charging Its Ex-Programmer?</w:t>
      </w:r>
      <w:r w:rsidRPr="00DD527F">
        <w:rPr>
          <w:shd w:val="clear" w:color="auto" w:fill="FFFFFF"/>
        </w:rPr>
        <w:t>,</w:t>
      </w:r>
      <w:r>
        <w:rPr>
          <w:shd w:val="clear" w:color="auto" w:fill="FFFFFF"/>
        </w:rPr>
        <w:t xml:space="preserve"> </w:t>
      </w:r>
      <w:r w:rsidRPr="00DD527F">
        <w:rPr>
          <w:smallCaps/>
          <w:shd w:val="clear" w:color="auto" w:fill="FFFFFF"/>
        </w:rPr>
        <w:t>Vanity Fair</w:t>
      </w:r>
      <w:r w:rsidRPr="00DD527F">
        <w:rPr>
          <w:shd w:val="clear" w:color="auto" w:fill="FFFFFF"/>
        </w:rPr>
        <w:t>, Sept</w:t>
      </w:r>
      <w:r w:rsidRPr="00D25209">
        <w:rPr>
          <w:shd w:val="clear" w:color="auto" w:fill="FFFFFF"/>
        </w:rPr>
        <w:t>.</w:t>
      </w:r>
      <w:r>
        <w:rPr>
          <w:shd w:val="clear" w:color="auto" w:fill="FFFFFF"/>
        </w:rPr>
        <w:t xml:space="preserve"> </w:t>
      </w:r>
      <w:r w:rsidRPr="00D25209">
        <w:rPr>
          <w:shd w:val="clear" w:color="auto" w:fill="FFFFFF"/>
        </w:rPr>
        <w:t>2013.</w:t>
      </w:r>
    </w:p>
  </w:footnote>
  <w:footnote w:id="54">
    <w:p w14:paraId="3079A741" w14:textId="77777777" w:rsidR="00E81370" w:rsidRDefault="00E81370" w:rsidP="00967FCA">
      <w:pPr>
        <w:pStyle w:val="FootnoteText"/>
        <w:ind w:firstLine="0"/>
      </w:pPr>
      <w:r>
        <w:rPr>
          <w:rStyle w:val="FootnoteReference"/>
        </w:rPr>
        <w:footnoteRef/>
      </w:r>
      <w:r>
        <w:t xml:space="preserve"> </w:t>
      </w:r>
      <w:r w:rsidRPr="00016B9E">
        <w:t>The expert contrasted these actions with real theft: “If Person A steals a bike from Person B, then Person A is riding a bike to school, and Person B is walking. A is better off at the expense of B. That is clear-cut and most people’s view of theft.”</w:t>
      </w:r>
      <w:r>
        <w:t xml:space="preserve"> </w:t>
      </w:r>
      <w:r w:rsidRPr="00F528E6">
        <w:rPr>
          <w:i/>
        </w:rPr>
        <w:t>Id.</w:t>
      </w:r>
    </w:p>
  </w:footnote>
  <w:footnote w:id="55">
    <w:p w14:paraId="46122B86" w14:textId="77777777" w:rsidR="00E81370" w:rsidRDefault="00E81370" w:rsidP="000B6E14">
      <w:pPr>
        <w:pStyle w:val="FootnoteText"/>
        <w:ind w:firstLine="0"/>
      </w:pPr>
      <w:r>
        <w:rPr>
          <w:rStyle w:val="FootnoteReference"/>
        </w:rPr>
        <w:footnoteRef/>
      </w:r>
      <w:r>
        <w:t xml:space="preserve"> </w:t>
      </w:r>
      <w:r w:rsidRPr="006C377C">
        <w:t>The one outside expert witness in the trial called by the government turned</w:t>
      </w:r>
      <w:r>
        <w:t xml:space="preserve"> out to be rather a non-expert, </w:t>
      </w:r>
      <w:r w:rsidRPr="006C377C">
        <w:t>“</w:t>
      </w:r>
      <w:r>
        <w:t>a</w:t>
      </w:r>
      <w:r w:rsidRPr="006C377C">
        <w:t>bout the market itself he was badly misinformed. (He described Goldman Sachs as “the New York Yankees” of high frequency trading.) He turned out to have testified as an expert witness in an earlier trial involving the theft of high-frequency-trading code, after which the judge had described what he’d said as ‘utter</w:t>
      </w:r>
      <w:r w:rsidRPr="00016B9E">
        <w:t xml:space="preserve"> baloney.’” Lewis, </w:t>
      </w:r>
      <w:r>
        <w:rPr>
          <w:smallCaps/>
        </w:rPr>
        <w:t>Vanity Fair,</w:t>
      </w:r>
      <w:r>
        <w:t xml:space="preserve"> </w:t>
      </w:r>
      <w:r w:rsidRPr="000B6E14">
        <w:rPr>
          <w:i/>
          <w:iCs/>
        </w:rPr>
        <w:t>supra</w:t>
      </w:r>
      <w:r>
        <w:rPr>
          <w:i/>
          <w:iCs/>
        </w:rPr>
        <w:t xml:space="preserve"> </w:t>
      </w:r>
      <w:r>
        <w:rPr>
          <w:iCs/>
        </w:rPr>
        <w:t>note</w:t>
      </w:r>
      <w:r>
        <w:t xml:space="preserve"> </w:t>
      </w:r>
      <w:r>
        <w:fldChar w:fldCharType="begin"/>
      </w:r>
      <w:r>
        <w:instrText xml:space="preserve"> NOTEREF _Ref265933357 \h </w:instrText>
      </w:r>
      <w:r>
        <w:fldChar w:fldCharType="separate"/>
      </w:r>
      <w:r w:rsidR="0039144E">
        <w:t>43</w:t>
      </w:r>
      <w:r>
        <w:fldChar w:fldCharType="end"/>
      </w:r>
      <w:r w:rsidRPr="00016B9E">
        <w:t>. The jury was composed of high-school graduates without computer background or experience. “They would bring my computer into the courtroom,” recalls Serge incredulously. “They would pull out the hard drive and show it to the jury. As evidence…</w:t>
      </w:r>
      <w:r>
        <w:t xml:space="preserve"> </w:t>
      </w:r>
      <w:r w:rsidRPr="00016B9E">
        <w:t xml:space="preserve">During the trial, the jury appeared to be sleeping.” </w:t>
      </w:r>
      <w:r w:rsidRPr="000B6E14">
        <w:rPr>
          <w:i/>
          <w:iCs/>
        </w:rPr>
        <w:t>Id</w:t>
      </w:r>
      <w:r w:rsidRPr="00016B9E">
        <w:t>.</w:t>
      </w:r>
    </w:p>
  </w:footnote>
  <w:footnote w:id="56">
    <w:p w14:paraId="421C9563" w14:textId="77777777" w:rsidR="00E81370" w:rsidRDefault="00E81370" w:rsidP="00FA24DA">
      <w:pPr>
        <w:pStyle w:val="FootnoteText"/>
        <w:ind w:firstLine="0"/>
      </w:pPr>
      <w:r>
        <w:rPr>
          <w:rStyle w:val="FootnoteReference"/>
        </w:rPr>
        <w:footnoteRef/>
      </w:r>
      <w:r>
        <w:t xml:space="preserve"> </w:t>
      </w:r>
      <w:r w:rsidRPr="00DD527F">
        <w:rPr>
          <w:shd w:val="clear" w:color="auto" w:fill="FFFFFF"/>
        </w:rPr>
        <w:t xml:space="preserve">Lewis, </w:t>
      </w:r>
      <w:r>
        <w:rPr>
          <w:i/>
          <w:shd w:val="clear" w:color="auto" w:fill="FFFFFF"/>
        </w:rPr>
        <w:t xml:space="preserve">supra </w:t>
      </w:r>
      <w:r>
        <w:rPr>
          <w:shd w:val="clear" w:color="auto" w:fill="FFFFFF"/>
        </w:rPr>
        <w:t xml:space="preserve">note </w:t>
      </w:r>
      <w:r>
        <w:rPr>
          <w:shd w:val="clear" w:color="auto" w:fill="FFFFFF"/>
        </w:rPr>
        <w:fldChar w:fldCharType="begin"/>
      </w:r>
      <w:r>
        <w:rPr>
          <w:shd w:val="clear" w:color="auto" w:fill="FFFFFF"/>
        </w:rPr>
        <w:instrText xml:space="preserve"> NOTEREF _Ref266780184 \h </w:instrText>
      </w:r>
      <w:r>
        <w:rPr>
          <w:shd w:val="clear" w:color="auto" w:fill="FFFFFF"/>
        </w:rPr>
      </w:r>
      <w:r>
        <w:rPr>
          <w:shd w:val="clear" w:color="auto" w:fill="FFFFFF"/>
        </w:rPr>
        <w:fldChar w:fldCharType="separate"/>
      </w:r>
      <w:r w:rsidR="0039144E">
        <w:rPr>
          <w:shd w:val="clear" w:color="auto" w:fill="FFFFFF"/>
        </w:rPr>
        <w:t>51</w:t>
      </w:r>
      <w:r>
        <w:rPr>
          <w:shd w:val="clear" w:color="auto" w:fill="FFFFFF"/>
        </w:rPr>
        <w:fldChar w:fldCharType="end"/>
      </w:r>
      <w:r>
        <w:rPr>
          <w:shd w:val="clear" w:color="auto" w:fill="FFFFFF"/>
        </w:rPr>
        <w:t>.</w:t>
      </w:r>
    </w:p>
  </w:footnote>
  <w:footnote w:id="57">
    <w:p w14:paraId="5D9BCB68" w14:textId="77777777" w:rsidR="00E81370" w:rsidRDefault="00E81370" w:rsidP="00B64D7F">
      <w:pPr>
        <w:pStyle w:val="FootnoteText"/>
        <w:ind w:firstLine="0"/>
      </w:pPr>
      <w:r>
        <w:rPr>
          <w:rStyle w:val="FootnoteReference"/>
        </w:rPr>
        <w:footnoteRef/>
      </w:r>
      <w:r>
        <w:t xml:space="preserve"> </w:t>
      </w:r>
      <w:r w:rsidRPr="009252E8">
        <w:t xml:space="preserve">A few months after Aleynikov’s appeal, </w:t>
      </w:r>
      <w:r>
        <w:t>i</w:t>
      </w:r>
      <w:r w:rsidRPr="009252E8">
        <w:t>n August 2013, the Second Circuit affirmed the criminal conviction of Samarth Agrawal for violating both the National Stolen Property Act (NSPA) and the Economic Espionage Act (EEA) in a very similar case, where the employee was found to have misappropriated high-frequency trading code at the time he was leaving the company. The difference was that unlike Aleynikov, Agrawal printed SocGen's code on paper, making his theft tangible. According to the Second Circuit, "[t]his makes all the difference” under the Economic Espionage Act, before the Act was amended on December 28, 2012. Although the Court found th</w:t>
      </w:r>
      <w:r>
        <w:t>at the cases were identical in “moral culpability,” it stated, “</w:t>
      </w:r>
      <w:r w:rsidRPr="009252E8">
        <w:t xml:space="preserve">it is Congress's task, not the courts', to define crimes and prescribe punishments." </w:t>
      </w:r>
      <w:r w:rsidRPr="009342B8">
        <w:rPr>
          <w:i/>
        </w:rPr>
        <w:t>See also</w:t>
      </w:r>
      <w:r w:rsidRPr="009252E8">
        <w:t xml:space="preserve">, Jennifer L. Achilles </w:t>
      </w:r>
      <w:r>
        <w:t>&amp;</w:t>
      </w:r>
      <w:r w:rsidRPr="009252E8">
        <w:t xml:space="preserve"> Lina Zhou, </w:t>
      </w:r>
      <w:r w:rsidRPr="009252E8">
        <w:rPr>
          <w:i/>
        </w:rPr>
        <w:t>Virtually Identical Trade Secret Theft Cases Result In Opposite Conclusions: Lessons From The Second Circuit’s Attention to Detail</w:t>
      </w:r>
      <w:r w:rsidRPr="009252E8">
        <w:t>,</w:t>
      </w:r>
      <w:r w:rsidRPr="009252E8">
        <w:rPr>
          <w:i/>
        </w:rPr>
        <w:t xml:space="preserve"> </w:t>
      </w:r>
      <w:r w:rsidRPr="009252E8">
        <w:t>Mondaq</w:t>
      </w:r>
      <w:r w:rsidRPr="00AC4262">
        <w:rPr>
          <w:i/>
        </w:rPr>
        <w:t xml:space="preserve">. </w:t>
      </w:r>
      <w:r w:rsidRPr="009252E8">
        <w:t>Aug. 8, 2013.</w:t>
      </w:r>
    </w:p>
  </w:footnote>
  <w:footnote w:id="58">
    <w:p w14:paraId="3CD749D2" w14:textId="77777777" w:rsidR="00E81370" w:rsidRPr="00FB41FF" w:rsidRDefault="00E81370" w:rsidP="004B2FDE">
      <w:pPr>
        <w:pStyle w:val="CommentText"/>
        <w:ind w:firstLine="0"/>
      </w:pPr>
      <w:r w:rsidRPr="00AC4262">
        <w:rPr>
          <w:vertAlign w:val="superscript"/>
        </w:rPr>
        <w:footnoteRef/>
      </w:r>
      <w:r w:rsidRPr="00AC4262">
        <w:t xml:space="preserve">Aleynikov is still being charged in New York state court for unlawful use of secret scientific material and unlawful duplication of computer related material, facing a four-year prison sentence. He is currently on bail. Aleynikov challenged the charges on double jeopardy grounds; the judge found that the charges were different and that the federal charges were dismissed based on the inadequacy of the indictment, and not the evidence, therefore not double jeopardy. More recently, Aleynikov filed a complaint in September 2012, seeking costs for his legal fees as a former </w:t>
      </w:r>
      <w:r>
        <w:t>corporate officer.</w:t>
      </w:r>
      <w:r w:rsidRPr="00AC4262">
        <w:t xml:space="preserve"> The fees amount to more than $2.4 million.</w:t>
      </w:r>
      <w:r>
        <w:t xml:space="preserve"> Aleynikov recently scored a major victory. A court declared that his initial arrest was illegal and that the prosecution could not use the evidence gathered from the arrest and subsequent searches. Ben Protess, </w:t>
      </w:r>
      <w:r>
        <w:rPr>
          <w:i/>
        </w:rPr>
        <w:t xml:space="preserve">Judge Blocks Evidence in Goldman Code Theft Case, </w:t>
      </w:r>
      <w:r w:rsidRPr="009342B8">
        <w:rPr>
          <w:smallCaps/>
        </w:rPr>
        <w:t>N.Y. Times Dealbook</w:t>
      </w:r>
      <w:r>
        <w:t xml:space="preserve">, June 20, 2014. </w:t>
      </w:r>
    </w:p>
  </w:footnote>
  <w:footnote w:id="59">
    <w:p w14:paraId="2A37CC7D" w14:textId="77777777" w:rsidR="00E81370" w:rsidRPr="00016B9E" w:rsidRDefault="00E81370">
      <w:pPr>
        <w:pStyle w:val="FootnoteText"/>
        <w:ind w:firstLine="0"/>
      </w:pPr>
      <w:r w:rsidRPr="00A737AB">
        <w:rPr>
          <w:vertAlign w:val="superscript"/>
        </w:rPr>
        <w:footnoteRef/>
      </w:r>
      <w:r w:rsidRPr="00E821DB">
        <w:t xml:space="preserve"> United States v. Aleynikov, 785 F. Supp. 2d 46, 52 </w:t>
      </w:r>
      <w:r w:rsidRPr="004344CF">
        <w:t xml:space="preserve">(S.D.N.Y. 2011) </w:t>
      </w:r>
      <w:r w:rsidRPr="004344CF">
        <w:rPr>
          <w:i/>
        </w:rPr>
        <w:t>rev'd</w:t>
      </w:r>
      <w:r w:rsidRPr="004344CF">
        <w:t>, 476 F. App'x 473 (2d Cir. 2012).</w:t>
      </w:r>
    </w:p>
  </w:footnote>
  <w:footnote w:id="60">
    <w:p w14:paraId="39ACB106" w14:textId="77777777" w:rsidR="00E81370" w:rsidRPr="00C47D43" w:rsidRDefault="00E81370" w:rsidP="00C24430">
      <w:pPr>
        <w:pStyle w:val="FootnoteText"/>
        <w:ind w:firstLine="0"/>
      </w:pPr>
      <w:r w:rsidRPr="00016B9E">
        <w:rPr>
          <w:rStyle w:val="FootnoteReference"/>
        </w:rPr>
        <w:footnoteRef/>
      </w:r>
      <w:r>
        <w:t xml:space="preserve"> </w:t>
      </w:r>
      <w:hyperlink r:id="rId6" w:history="1">
        <w:r w:rsidRPr="00AB2860">
          <w:t>Theft of Trade Secrets Clarification Act of 2012, Pub. L. 112-236, 126 Stat. 1627 (Dec. 28, 2012).</w:t>
        </w:r>
      </w:hyperlink>
    </w:p>
  </w:footnote>
  <w:footnote w:id="61">
    <w:p w14:paraId="31101650" w14:textId="77777777" w:rsidR="00E81370" w:rsidRPr="00C47D43" w:rsidRDefault="00E81370" w:rsidP="00C24430">
      <w:pPr>
        <w:pStyle w:val="FootnoteText"/>
        <w:ind w:firstLine="0"/>
      </w:pPr>
      <w:r w:rsidRPr="00AB2860">
        <w:rPr>
          <w:rStyle w:val="FootnoteReference"/>
        </w:rPr>
        <w:footnoteRef/>
      </w:r>
      <w:r w:rsidRPr="00AB2860">
        <w:t xml:space="preserve"> Economic Espionage Penalty Enhancement Act of 2012, Pub. L. 112-269, 126 Stat. 242 (Jan. 14, 2013).</w:t>
      </w:r>
    </w:p>
  </w:footnote>
  <w:footnote w:id="62">
    <w:p w14:paraId="5134BA73" w14:textId="77777777" w:rsidR="00E81370" w:rsidRDefault="00E81370" w:rsidP="0019489C">
      <w:pPr>
        <w:pStyle w:val="FootnoteText"/>
        <w:ind w:firstLine="0"/>
      </w:pPr>
      <w:r>
        <w:rPr>
          <w:rStyle w:val="FootnoteReference"/>
        </w:rPr>
        <w:footnoteRef/>
      </w:r>
      <w:r>
        <w:t xml:space="preserve"> Ben Protess, </w:t>
      </w:r>
      <w:r w:rsidRPr="0019489C">
        <w:rPr>
          <w:i/>
          <w:iCs/>
        </w:rPr>
        <w:t>Judge Blocks Evidence in Goldman Code Theft Case</w:t>
      </w:r>
      <w:r>
        <w:t>, NYT June 20 2014.</w:t>
      </w:r>
    </w:p>
  </w:footnote>
  <w:footnote w:id="63">
    <w:p w14:paraId="6EE1C13D" w14:textId="77777777" w:rsidR="00E81370" w:rsidRDefault="00E81370" w:rsidP="00026654">
      <w:pPr>
        <w:pStyle w:val="FootnoteText"/>
        <w:ind w:firstLine="0"/>
      </w:pPr>
      <w:r>
        <w:rPr>
          <w:rStyle w:val="FootnoteReference"/>
        </w:rPr>
        <w:footnoteRef/>
      </w:r>
      <w:r>
        <w:t xml:space="preserve"> </w:t>
      </w:r>
      <w:r w:rsidRPr="00375C2E">
        <w:rPr>
          <w:bCs/>
        </w:rPr>
        <w:t>Economic Espionage Act of 1996 (EEA),</w:t>
      </w:r>
      <w:r w:rsidRPr="00536C3C">
        <w:t> </w:t>
      </w:r>
      <w:r w:rsidRPr="00465EE0">
        <w:t>Pub. L. No. 104-294,</w:t>
      </w:r>
      <w:r>
        <w:t xml:space="preserve"> 110 Stat. 3488 (Oct. 11, 1996) codified at 18 U.S.C. §§ 1831-39 (passed as part of the National Information Infrastructure Protection Act of 1996). </w:t>
      </w:r>
    </w:p>
  </w:footnote>
  <w:footnote w:id="64">
    <w:p w14:paraId="65BF3DD7" w14:textId="77777777" w:rsidR="00E81370" w:rsidRPr="00C47D43" w:rsidRDefault="00E81370" w:rsidP="003B21F6">
      <w:pPr>
        <w:pStyle w:val="FootnoteText"/>
        <w:ind w:firstLine="0"/>
      </w:pPr>
      <w:r w:rsidRPr="00AB2860">
        <w:rPr>
          <w:rStyle w:val="FootnoteReference"/>
        </w:rPr>
        <w:footnoteRef/>
      </w:r>
      <w:r w:rsidRPr="00AB2860">
        <w:t xml:space="preserve"> Charles Tait Graves, </w:t>
      </w:r>
      <w:r w:rsidRPr="00AB2860">
        <w:rPr>
          <w:i/>
          <w:iCs/>
        </w:rPr>
        <w:t>Nonpublic Information and California Tort Law: A Proposal for Harmonizing California's Employee Mobility and Intellectual Property Regimes Under the Uniform Trade Secrets Act</w:t>
      </w:r>
      <w:r w:rsidRPr="00AB2860">
        <w:t xml:space="preserve">, </w:t>
      </w:r>
      <w:r w:rsidRPr="00AB2860">
        <w:rPr>
          <w:smallCaps/>
        </w:rPr>
        <w:t>UCLA J.</w:t>
      </w:r>
      <w:r>
        <w:rPr>
          <w:smallCaps/>
        </w:rPr>
        <w:t xml:space="preserve"> </w:t>
      </w:r>
      <w:r w:rsidRPr="00AB2860">
        <w:rPr>
          <w:smallCaps/>
        </w:rPr>
        <w:t>L. &amp; Tech</w:t>
      </w:r>
      <w:r w:rsidRPr="00AB2860">
        <w:t>., Spring 2006, at 1.</w:t>
      </w:r>
    </w:p>
  </w:footnote>
  <w:footnote w:id="65">
    <w:p w14:paraId="74B44488" w14:textId="77777777" w:rsidR="00E81370" w:rsidRPr="00016B9E" w:rsidRDefault="00E81370">
      <w:pPr>
        <w:ind w:firstLine="0"/>
        <w:rPr>
          <w:sz w:val="20"/>
          <w:szCs w:val="20"/>
        </w:rPr>
      </w:pPr>
      <w:r w:rsidRPr="00AB2860">
        <w:rPr>
          <w:rFonts w:hAnsi="Times New Roman" w:cs="Times New Roman"/>
          <w:sz w:val="20"/>
          <w:szCs w:val="20"/>
          <w:vertAlign w:val="superscript"/>
        </w:rPr>
        <w:footnoteRef/>
      </w:r>
      <w:r w:rsidRPr="00AB2860">
        <w:rPr>
          <w:rFonts w:eastAsia="Times" w:hAnsi="Times New Roman" w:cs="Times New Roman"/>
          <w:sz w:val="20"/>
          <w:szCs w:val="20"/>
        </w:rPr>
        <w:t xml:space="preserve"> Charles Tait Graves &amp; Elizabeth Tippett, </w:t>
      </w:r>
      <w:r w:rsidRPr="00AB2860">
        <w:rPr>
          <w:rFonts w:eastAsia="Times" w:hAnsi="Times New Roman" w:cs="Times New Roman"/>
          <w:i/>
          <w:iCs/>
          <w:sz w:val="20"/>
          <w:szCs w:val="20"/>
        </w:rPr>
        <w:t xml:space="preserve">UTSA Preemption and the Public Domain: </w:t>
      </w:r>
      <w:r w:rsidRPr="00AB2860">
        <w:rPr>
          <w:rFonts w:hAnsi="Times New Roman" w:cs="Times New Roman"/>
          <w:i/>
          <w:iCs/>
          <w:sz w:val="20"/>
          <w:szCs w:val="20"/>
        </w:rPr>
        <w:t>How Courts Have Overlooked Patent Preemption of State Law Claims Alleging Employee Wrongdoing</w:t>
      </w:r>
      <w:r w:rsidRPr="00AB2860">
        <w:rPr>
          <w:rFonts w:hAnsi="Times New Roman" w:cs="Times New Roman"/>
          <w:sz w:val="20"/>
          <w:szCs w:val="20"/>
        </w:rPr>
        <w:t xml:space="preserve">, 65 </w:t>
      </w:r>
      <w:r w:rsidRPr="00AB2860">
        <w:rPr>
          <w:rFonts w:hAnsi="Times New Roman" w:cs="Times New Roman"/>
          <w:smallCaps/>
          <w:sz w:val="20"/>
          <w:szCs w:val="20"/>
        </w:rPr>
        <w:t>Rutgers L. Rev</w:t>
      </w:r>
      <w:r w:rsidRPr="00AB2860">
        <w:rPr>
          <w:rFonts w:hAnsi="Times New Roman" w:cs="Times New Roman"/>
          <w:sz w:val="20"/>
          <w:szCs w:val="20"/>
        </w:rPr>
        <w:t>. 59 (2012).</w:t>
      </w:r>
    </w:p>
  </w:footnote>
  <w:footnote w:id="66">
    <w:p w14:paraId="42B61708" w14:textId="77777777" w:rsidR="00E81370" w:rsidRDefault="00E81370" w:rsidP="000B6E14">
      <w:pPr>
        <w:pStyle w:val="FootnoteText"/>
        <w:ind w:firstLine="0"/>
      </w:pPr>
      <w:r>
        <w:rPr>
          <w:rStyle w:val="FootnoteReference"/>
        </w:rPr>
        <w:footnoteRef/>
      </w:r>
      <w:r>
        <w:t xml:space="preserve"> Google Employment Contract on file with author.</w:t>
      </w:r>
    </w:p>
  </w:footnote>
  <w:footnote w:id="67">
    <w:p w14:paraId="5E9E7109" w14:textId="77777777" w:rsidR="00E81370" w:rsidRDefault="00E81370" w:rsidP="00E63E67">
      <w:pPr>
        <w:pStyle w:val="FootnoteText"/>
        <w:ind w:firstLine="0"/>
      </w:pPr>
      <w:r>
        <w:rPr>
          <w:rStyle w:val="FootnoteReference"/>
        </w:rPr>
        <w:footnoteRef/>
      </w:r>
      <w:r>
        <w:t xml:space="preserve"> </w:t>
      </w:r>
      <w:r w:rsidRPr="00016B9E">
        <w:t xml:space="preserve">Hauck Mfg. Co. v. Astec Indus., Inc., </w:t>
      </w:r>
      <w:hyperlink r:id="rId7" w:history="1">
        <w:r w:rsidRPr="00016B9E">
          <w:rPr>
            <w:rStyle w:val="Hyperlink1"/>
          </w:rPr>
          <w:t>375 F. Supp. 2d 649, 657 (E.D. Tenn. 2004)</w:t>
        </w:r>
      </w:hyperlink>
      <w:r w:rsidRPr="00016B9E">
        <w:t xml:space="preserve">; </w:t>
      </w:r>
      <w:hyperlink r:id="rId8" w:history="1">
        <w:r w:rsidRPr="00016B9E">
          <w:rPr>
            <w:rStyle w:val="Hyperlink1"/>
          </w:rPr>
          <w:t>Diamond Power Int'l, Inc. v. Davidson, 540 F. Supp. 2d 1322, 1345 (N.D. Ga. 2007)</w:t>
        </w:r>
      </w:hyperlink>
      <w:r w:rsidRPr="00016B9E">
        <w:t>.</w:t>
      </w:r>
    </w:p>
  </w:footnote>
  <w:footnote w:id="68">
    <w:p w14:paraId="7F634C05" w14:textId="77777777" w:rsidR="00E81370" w:rsidRPr="002F14F5" w:rsidRDefault="00E81370" w:rsidP="00A90484">
      <w:pPr>
        <w:pStyle w:val="FootnoteText"/>
        <w:ind w:firstLine="0"/>
      </w:pPr>
      <w:r w:rsidRPr="002F14F5">
        <w:rPr>
          <w:vertAlign w:val="superscript"/>
        </w:rPr>
        <w:footnoteRef/>
      </w:r>
      <w:r w:rsidRPr="00DC381B">
        <w:rPr>
          <w:color w:val="auto"/>
        </w:rPr>
        <w:t xml:space="preserve"> </w:t>
      </w:r>
      <w:hyperlink r:id="rId9" w:tgtFrame="_top" w:history="1">
        <w:r w:rsidRPr="00AB2860">
          <w:rPr>
            <w:rStyle w:val="Hyperlink"/>
            <w:u w:val="none"/>
            <w:shd w:val="clear" w:color="auto" w:fill="FFFFFF"/>
          </w:rPr>
          <w:t>Firetrace USA, LLC v. Jesclard, 800 F. Supp. 2d 1042, 1046–1050 (D. Ariz. 2010)</w:t>
        </w:r>
      </w:hyperlink>
      <w:r w:rsidRPr="00AB2860">
        <w:rPr>
          <w:shd w:val="clear" w:color="auto" w:fill="FFFFFF"/>
        </w:rPr>
        <w:t>, appeal dismissed,</w:t>
      </w:r>
      <w:r w:rsidRPr="00AB2860">
        <w:rPr>
          <w:rStyle w:val="apple-converted-space"/>
          <w:shd w:val="clear" w:color="auto" w:fill="FFFFFF"/>
        </w:rPr>
        <w:t> </w:t>
      </w:r>
      <w:hyperlink r:id="rId10" w:tgtFrame="_top" w:history="1">
        <w:r w:rsidRPr="00AB2860">
          <w:rPr>
            <w:rStyle w:val="Hyperlink"/>
            <w:u w:val="none"/>
            <w:shd w:val="clear" w:color="auto" w:fill="FFFFFF"/>
          </w:rPr>
          <w:t>459 Fed. Appx. 906 (Fed. Cir. 2011)</w:t>
        </w:r>
      </w:hyperlink>
      <w:r w:rsidRPr="00DC381B">
        <w:rPr>
          <w:color w:val="auto"/>
        </w:rPr>
        <w:t xml:space="preserve">; </w:t>
      </w:r>
      <w:r w:rsidRPr="002512A9">
        <w:rPr>
          <w:color w:val="auto"/>
        </w:rPr>
        <w:t>Chinet et al., Cal. Practice Guide: Employment Litigation</w:t>
      </w:r>
      <w:r w:rsidRPr="00BA5959">
        <w:t xml:space="preserve"> (The Rutter Group 2007) ¶ 14:455, p. 14-50 (“It is not settled whether a former employee’s use of a former employer’s confidential information that is</w:t>
      </w:r>
      <w:r w:rsidRPr="007D0536">
        <w:t xml:space="preserve"> not protected as a trade secret constitutes unfair competition.”).</w:t>
      </w:r>
      <w:r w:rsidRPr="00AB2860">
        <w:t xml:space="preserve"> </w:t>
      </w:r>
    </w:p>
  </w:footnote>
  <w:footnote w:id="69">
    <w:p w14:paraId="1F684F49" w14:textId="77777777" w:rsidR="00E81370" w:rsidRPr="00016B9E" w:rsidRDefault="00E81370">
      <w:pPr>
        <w:pStyle w:val="FootnoteText"/>
        <w:ind w:firstLine="0"/>
      </w:pPr>
      <w:r w:rsidRPr="00016B9E">
        <w:rPr>
          <w:vertAlign w:val="superscript"/>
        </w:rPr>
        <w:footnoteRef/>
      </w:r>
      <w:r>
        <w:t xml:space="preserve"> </w:t>
      </w:r>
      <w:hyperlink r:id="rId11" w:history="1">
        <w:r w:rsidRPr="00016B9E">
          <w:rPr>
            <w:rStyle w:val="Hyperlink2"/>
          </w:rPr>
          <w:t>Hecny Transp., Inc. v. Chu, 430 F.3d 402, 404 (7th Cir. 2005)</w:t>
        </w:r>
      </w:hyperlink>
      <w:r w:rsidRPr="00016B9E">
        <w:t>.</w:t>
      </w:r>
    </w:p>
  </w:footnote>
  <w:footnote w:id="70">
    <w:p w14:paraId="7FB6538C" w14:textId="77777777" w:rsidR="00E81370" w:rsidRPr="00016B9E" w:rsidRDefault="00E81370">
      <w:pPr>
        <w:pStyle w:val="FootnoteText"/>
        <w:ind w:firstLine="0"/>
      </w:pPr>
      <w:r w:rsidRPr="00016B9E">
        <w:rPr>
          <w:vertAlign w:val="superscript"/>
        </w:rPr>
        <w:footnoteRef/>
      </w:r>
      <w:r w:rsidRPr="00016B9E">
        <w:t xml:space="preserve"> Dow Corning Corp. v. Jie Xiao, </w:t>
      </w:r>
      <w:hyperlink r:id="rId12" w:history="1">
        <w:r w:rsidRPr="00016B9E">
          <w:rPr>
            <w:rStyle w:val="Hyperlink2"/>
          </w:rPr>
          <w:t>No. 11-10008-BC, 2011 WL 2015517, at *14 (E.D. Mich. May 20, 2011)</w:t>
        </w:r>
      </w:hyperlink>
      <w:r w:rsidRPr="00016B9E">
        <w:t>.</w:t>
      </w:r>
    </w:p>
  </w:footnote>
  <w:footnote w:id="71">
    <w:p w14:paraId="10B00C43" w14:textId="77777777" w:rsidR="00E81370" w:rsidRPr="006C377C" w:rsidRDefault="00E81370" w:rsidP="00E63E67">
      <w:pPr>
        <w:ind w:firstLine="0"/>
        <w:rPr>
          <w:rFonts w:hAnsi="Times New Roman" w:cs="Times New Roman"/>
          <w:sz w:val="20"/>
          <w:szCs w:val="20"/>
        </w:rPr>
      </w:pPr>
      <w:r w:rsidRPr="006C377C">
        <w:rPr>
          <w:rFonts w:hAnsi="Times New Roman" w:cs="Times New Roman"/>
          <w:sz w:val="20"/>
          <w:szCs w:val="20"/>
          <w:vertAlign w:val="superscript"/>
        </w:rPr>
        <w:footnoteRef/>
      </w:r>
      <w:r w:rsidRPr="006C377C">
        <w:rPr>
          <w:rFonts w:hAnsi="Times New Roman" w:cs="Times New Roman"/>
          <w:i/>
          <w:iCs/>
          <w:sz w:val="20"/>
          <w:szCs w:val="20"/>
        </w:rPr>
        <w:t>See e.g</w:t>
      </w:r>
      <w:r w:rsidRPr="006C377C">
        <w:rPr>
          <w:rFonts w:hAnsi="Times New Roman" w:cs="Times New Roman"/>
          <w:sz w:val="20"/>
          <w:szCs w:val="20"/>
        </w:rPr>
        <w:t>., United States v. Hsu, 155 F.3d 189, 194 (3d Cir. 1998) (“The end of the Cold War sent government spies scurrying to the private sector to perform illicit work for businesses and corporations”)</w:t>
      </w:r>
      <w:r>
        <w:rPr>
          <w:rFonts w:hAnsi="Times New Roman" w:cs="Times New Roman"/>
          <w:sz w:val="20"/>
          <w:szCs w:val="20"/>
        </w:rPr>
        <w:t>.</w:t>
      </w:r>
      <w:r w:rsidRPr="006C377C">
        <w:rPr>
          <w:rFonts w:hAnsi="Times New Roman" w:cs="Times New Roman"/>
          <w:sz w:val="20"/>
          <w:szCs w:val="20"/>
        </w:rPr>
        <w:t xml:space="preserve"> </w:t>
      </w:r>
    </w:p>
  </w:footnote>
  <w:footnote w:id="72">
    <w:p w14:paraId="4CD3171E" w14:textId="77777777" w:rsidR="00E81370" w:rsidRPr="00016B9E" w:rsidRDefault="00E81370" w:rsidP="00026654">
      <w:pPr>
        <w:pStyle w:val="FootnoteText"/>
        <w:ind w:firstLine="0"/>
      </w:pPr>
      <w:r w:rsidRPr="00016B9E">
        <w:rPr>
          <w:vertAlign w:val="superscript"/>
        </w:rPr>
        <w:footnoteRef/>
      </w:r>
      <w:r w:rsidRPr="00016B9E">
        <w:t xml:space="preserve"> Mark Halligan, </w:t>
      </w:r>
      <w:r w:rsidRPr="00016B9E">
        <w:rPr>
          <w:i/>
          <w:iCs/>
        </w:rPr>
        <w:t>Reported Criminal Arrests and Convictions Under the Economic Espionage Act of 1996</w:t>
      </w:r>
      <w:r w:rsidRPr="00016B9E">
        <w:t xml:space="preserve">, http://my.execpc.com/~mhallign/indict.html (last visited June 1, 2014); Peter J. Toren, </w:t>
      </w:r>
      <w:r w:rsidRPr="00016B9E">
        <w:rPr>
          <w:i/>
          <w:iCs/>
        </w:rPr>
        <w:t>A Look at 16 Years Of EEA Prosecutions</w:t>
      </w:r>
      <w:r w:rsidRPr="00016B9E">
        <w:t>, Law360: A LexisNexis Company, Sep. 19, 2012. Out of over 120 criminal prosecutions under the Act only about 10 were brought against foreign offenders. The large majority of prosecutions under the statute have been brought under Section 1832</w:t>
      </w:r>
      <w:r>
        <w:t>,</w:t>
      </w:r>
      <w:r w:rsidRPr="00016B9E">
        <w:t xml:space="preserve"> which criminalized the misappropriation of trade secrets by domestic (non-foreign) offenders.</w:t>
      </w:r>
    </w:p>
  </w:footnote>
  <w:footnote w:id="73">
    <w:p w14:paraId="592ABD41" w14:textId="77777777" w:rsidR="00E81370" w:rsidRPr="00450027" w:rsidRDefault="00E81370" w:rsidP="00026654">
      <w:pPr>
        <w:pStyle w:val="FootnoteText"/>
        <w:ind w:firstLine="0"/>
      </w:pPr>
      <w:r w:rsidRPr="00366EE3">
        <w:rPr>
          <w:vertAlign w:val="superscript"/>
        </w:rPr>
        <w:footnoteRef/>
      </w:r>
      <w:r w:rsidRPr="00366EE3">
        <w:t xml:space="preserve"> Michael L. Rustad, </w:t>
      </w:r>
      <w:r w:rsidRPr="00C81E18">
        <w:rPr>
          <w:i/>
          <w:iCs/>
        </w:rPr>
        <w:t>The Negligent Enablement of Trade Secret Misappropriation</w:t>
      </w:r>
      <w:r w:rsidRPr="00C81E18">
        <w:t xml:space="preserve">, 22 </w:t>
      </w:r>
      <w:r w:rsidRPr="00375C2E">
        <w:rPr>
          <w:smallCaps/>
        </w:rPr>
        <w:t>Santa Clara Computer &amp; High Tech. L.</w:t>
      </w:r>
      <w:r>
        <w:rPr>
          <w:smallCaps/>
        </w:rPr>
        <w:t xml:space="preserve"> </w:t>
      </w:r>
      <w:r w:rsidRPr="00375C2E">
        <w:rPr>
          <w:smallCaps/>
        </w:rPr>
        <w:t>J.</w:t>
      </w:r>
      <w:r w:rsidRPr="00375C2E">
        <w:t xml:space="preserve"> 455, 458 (2006). During the early years of the statutes, Attorneys General normally only prosecuted after a process of private investigation by the corporation. </w:t>
      </w:r>
      <w:r w:rsidRPr="00375C2E">
        <w:rPr>
          <w:i/>
        </w:rPr>
        <w:t>Id.</w:t>
      </w:r>
      <w:r w:rsidRPr="00366EE3">
        <w:t xml:space="preserve"> Currently</w:t>
      </w:r>
      <w:r w:rsidRPr="00C81E18">
        <w:t xml:space="preserve">, it appears that the </w:t>
      </w:r>
      <w:r w:rsidRPr="00450027">
        <w:t>Department of Justice is playing a more active role in initiating such investigations.</w:t>
      </w:r>
    </w:p>
  </w:footnote>
  <w:footnote w:id="74">
    <w:p w14:paraId="57AB3AE8" w14:textId="77777777" w:rsidR="00E81370" w:rsidRPr="00366EE3" w:rsidRDefault="00E81370" w:rsidP="00026654">
      <w:pPr>
        <w:ind w:firstLine="0"/>
        <w:rPr>
          <w:rFonts w:hAnsi="Times New Roman" w:cs="Times New Roman"/>
          <w:sz w:val="20"/>
          <w:szCs w:val="20"/>
        </w:rPr>
      </w:pPr>
      <w:r w:rsidRPr="00366EE3">
        <w:rPr>
          <w:rFonts w:hAnsi="Times New Roman" w:cs="Times New Roman"/>
          <w:sz w:val="20"/>
          <w:szCs w:val="20"/>
          <w:vertAlign w:val="superscript"/>
        </w:rPr>
        <w:footnoteRef/>
      </w:r>
      <w:r w:rsidRPr="00366EE3">
        <w:rPr>
          <w:rFonts w:hAnsi="Times New Roman" w:cs="Times New Roman"/>
          <w:sz w:val="20"/>
          <w:szCs w:val="20"/>
        </w:rPr>
        <w:t xml:space="preserve"> The Act criminalizes anyone who “without authorization copies, duplicates, sketches, draws, photographs, downloads, uploads, alters, destroys, photocopies, replicates, transmits, delivers, sends, mails, communicates, or conveys [trade secrets].” </w:t>
      </w:r>
      <w:r w:rsidRPr="00375C2E">
        <w:rPr>
          <w:rFonts w:hAnsi="Times New Roman" w:cs="Times New Roman"/>
          <w:sz w:val="20"/>
          <w:szCs w:val="20"/>
        </w:rPr>
        <w:t>18 U.S.C. A.</w:t>
      </w:r>
      <w:r>
        <w:rPr>
          <w:rFonts w:hAnsi="Times New Roman" w:cs="Times New Roman"/>
          <w:sz w:val="20"/>
          <w:szCs w:val="20"/>
        </w:rPr>
        <w:t xml:space="preserve"> § 1832 (West). </w:t>
      </w:r>
      <w:r w:rsidRPr="00375C2E">
        <w:rPr>
          <w:rFonts w:hAnsi="Times New Roman" w:cs="Times New Roman"/>
          <w:vanish/>
          <w:sz w:val="20"/>
          <w:szCs w:val="20"/>
        </w:rPr>
        <w:t xml:space="preserve">.thatke L.J. 1 (2004)ntellectual Property Through a Property Paradigm. </w:t>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r w:rsidRPr="00375C2E">
        <w:rPr>
          <w:rFonts w:hAnsi="Times New Roman" w:cs="Times New Roman"/>
          <w:vanish/>
          <w:sz w:val="20"/>
          <w:szCs w:val="20"/>
        </w:rPr>
        <w:pgNum/>
      </w:r>
    </w:p>
  </w:footnote>
  <w:footnote w:id="75">
    <w:p w14:paraId="5EFFBD62" w14:textId="77777777" w:rsidR="00E81370" w:rsidRPr="006C5B6B" w:rsidRDefault="00E81370" w:rsidP="00026654">
      <w:pPr>
        <w:pStyle w:val="FootnoteText"/>
        <w:ind w:firstLine="0"/>
      </w:pPr>
      <w:r w:rsidRPr="00366EE3">
        <w:rPr>
          <w:vertAlign w:val="superscript"/>
        </w:rPr>
        <w:footnoteRef/>
      </w:r>
      <w:r w:rsidRPr="00366EE3">
        <w:t xml:space="preserve"> Gerald J. Mossin</w:t>
      </w:r>
      <w:r w:rsidRPr="00C81E18">
        <w:t xml:space="preserve">goff et al., </w:t>
      </w:r>
      <w:r w:rsidRPr="00C81E18">
        <w:rPr>
          <w:i/>
          <w:iCs/>
        </w:rPr>
        <w:t>The Economic Espionage Act: A New Federal Regime of Trade Secret Protection</w:t>
      </w:r>
      <w:r w:rsidRPr="00C81E18">
        <w:t xml:space="preserve">, 79 </w:t>
      </w:r>
      <w:r w:rsidRPr="00450027">
        <w:rPr>
          <w:smallCaps/>
        </w:rPr>
        <w:t>J. Pat. &amp; Trademark Off. Soc’y</w:t>
      </w:r>
      <w:r w:rsidRPr="00450027">
        <w:t xml:space="preserve"> 191, 192 (1997).</w:t>
      </w:r>
    </w:p>
  </w:footnote>
  <w:footnote w:id="76">
    <w:p w14:paraId="1411300C" w14:textId="77777777" w:rsidR="00E81370" w:rsidRPr="00366EE3" w:rsidRDefault="00E81370" w:rsidP="00026654">
      <w:pPr>
        <w:pStyle w:val="FootnoteText"/>
        <w:ind w:firstLine="0"/>
      </w:pPr>
      <w:r w:rsidRPr="00366EE3">
        <w:rPr>
          <w:vertAlign w:val="superscript"/>
        </w:rPr>
        <w:footnoteRef/>
      </w:r>
      <w:r w:rsidRPr="00366EE3">
        <w:t xml:space="preserve"> </w:t>
      </w:r>
      <w:r w:rsidRPr="00C81E18">
        <w:t xml:space="preserve">Robert Hamilton, </w:t>
      </w:r>
      <w:r w:rsidRPr="00C81E18">
        <w:rPr>
          <w:i/>
          <w:iCs/>
        </w:rPr>
        <w:t>Information Unleashed: The “</w:t>
      </w:r>
      <w:r w:rsidRPr="00450027">
        <w:rPr>
          <w:i/>
          <w:iCs/>
        </w:rPr>
        <w:t>Frenemy” Within—</w:t>
      </w:r>
      <w:r w:rsidRPr="006C5B6B">
        <w:rPr>
          <w:i/>
          <w:iCs/>
        </w:rPr>
        <w:t>Insider Theft of Intellectual Property</w:t>
      </w:r>
      <w:r w:rsidRPr="00375C2E">
        <w:t xml:space="preserve">, </w:t>
      </w:r>
      <w:r w:rsidRPr="00375C2E">
        <w:rPr>
          <w:smallCaps/>
        </w:rPr>
        <w:t>Symantec Official Blog</w:t>
      </w:r>
      <w:r w:rsidRPr="00375C2E">
        <w:t>, Feb. 6, 2013, http://www.symantec.com/connect/blogs/frenemy-within-insider-theft-intellectual-property?om_ext_cid=biz_socmed_twitter_facebook_marketwire_linkedin_2013Feb_worldwide_InsiderThreat.</w:t>
      </w:r>
    </w:p>
  </w:footnote>
  <w:footnote w:id="77">
    <w:p w14:paraId="726CEEDC" w14:textId="77777777" w:rsidR="00E81370" w:rsidRDefault="00E81370" w:rsidP="00D13537">
      <w:pPr>
        <w:pStyle w:val="FootnoteText"/>
        <w:ind w:firstLine="0"/>
      </w:pPr>
      <w:r w:rsidRPr="00366EE3">
        <w:rPr>
          <w:rStyle w:val="FootnoteReference"/>
        </w:rPr>
        <w:footnoteRef/>
      </w:r>
      <w:r w:rsidRPr="00366EE3">
        <w:t xml:space="preserve"> </w:t>
      </w:r>
      <w:r w:rsidRPr="00C81E18">
        <w:rPr>
          <w:i/>
        </w:rPr>
        <w:t>See</w:t>
      </w:r>
      <w:r w:rsidRPr="00450027">
        <w:t xml:space="preserve"> </w:t>
      </w:r>
      <w:hyperlink r:id="rId13" w:history="1">
        <w:r w:rsidRPr="00C81E18">
          <w:rPr>
            <w:rStyle w:val="Hyperlink3"/>
          </w:rPr>
          <w:t>Rochelle Cooper Dreyfuss</w:t>
        </w:r>
      </w:hyperlink>
      <w:r w:rsidRPr="00366EE3">
        <w:t xml:space="preserve">, </w:t>
      </w:r>
      <w:r w:rsidRPr="00C81E18">
        <w:rPr>
          <w:i/>
          <w:iCs/>
        </w:rPr>
        <w:t>Trade Secrets: How Well Should We Be Allowed to Hide Them?</w:t>
      </w:r>
      <w:r w:rsidRPr="00450027">
        <w:rPr>
          <w:i/>
          <w:iCs/>
        </w:rPr>
        <w:t xml:space="preserve"> The Economic Espionage Act of 1996</w:t>
      </w:r>
      <w:r w:rsidRPr="00450027">
        <w:t xml:space="preserve">, 9 </w:t>
      </w:r>
      <w:r w:rsidRPr="00450027">
        <w:rPr>
          <w:smallCaps/>
        </w:rPr>
        <w:t>Fordham Intell. Prop. Media &amp; Ent. L.J.</w:t>
      </w:r>
      <w:r w:rsidRPr="006C5B6B">
        <w:t xml:space="preserve"> (1998)</w:t>
      </w:r>
      <w:r w:rsidRPr="00375C2E">
        <w:t xml:space="preserve">. In the first years, Attorney General Janet Reno stated that any prosecution under the EEA will require her personal approval. Dreyfuss, </w:t>
      </w:r>
      <w:r>
        <w:rPr>
          <w:vanish/>
        </w:rPr>
        <w:t>. CV 11-1258-SLR, 2014 t SocP9 . anity Fair article, not Flash Boys.   HBSR White Paper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450027">
        <w:rPr>
          <w:i/>
          <w:iCs/>
        </w:rPr>
        <w:t>i</w:t>
      </w:r>
      <w:r w:rsidRPr="00C81E18">
        <w:rPr>
          <w:i/>
          <w:iCs/>
        </w:rPr>
        <w:t>d</w:t>
      </w:r>
      <w:r w:rsidRPr="00450027">
        <w:t xml:space="preserve">. </w:t>
      </w:r>
      <w:r w:rsidRPr="009342B8">
        <w:rPr>
          <w:i/>
        </w:rPr>
        <w:t>See also</w:t>
      </w:r>
      <w:r w:rsidRPr="00450027">
        <w:t xml:space="preserve">, Joseph F. Savage, Jr., </w:t>
      </w:r>
      <w:r w:rsidRPr="00450027">
        <w:rPr>
          <w:i/>
          <w:iCs/>
        </w:rPr>
        <w:t>The New Economic Espionage Act can be Risky Business</w:t>
      </w:r>
      <w:r w:rsidRPr="00450027">
        <w:t xml:space="preserve">, 12 </w:t>
      </w:r>
      <w:r w:rsidRPr="006C5B6B">
        <w:rPr>
          <w:smallCaps/>
        </w:rPr>
        <w:t>Crim. Just.</w:t>
      </w:r>
      <w:r w:rsidRPr="006C5B6B">
        <w:t xml:space="preserve"> 12, 15 (Fall 1997).</w:t>
      </w:r>
    </w:p>
  </w:footnote>
  <w:footnote w:id="78">
    <w:p w14:paraId="58145818" w14:textId="77777777" w:rsidR="00E81370" w:rsidRPr="00016B9E" w:rsidRDefault="00E81370" w:rsidP="00A91775">
      <w:pPr>
        <w:ind w:firstLine="0"/>
        <w:rPr>
          <w:sz w:val="20"/>
          <w:szCs w:val="20"/>
        </w:rPr>
      </w:pPr>
      <w:r w:rsidRPr="00AB2860">
        <w:rPr>
          <w:rFonts w:hAnsi="Times New Roman" w:cs="Times New Roman"/>
          <w:sz w:val="20"/>
          <w:szCs w:val="20"/>
          <w:vertAlign w:val="superscript"/>
        </w:rPr>
        <w:footnoteRef/>
      </w:r>
      <w:r w:rsidRPr="00AB2860">
        <w:rPr>
          <w:rFonts w:hAnsi="Times New Roman" w:cs="Times New Roman"/>
          <w:sz w:val="20"/>
          <w:szCs w:val="20"/>
        </w:rPr>
        <w:t xml:space="preserve"> Since the 1990s, and ever increasingly, assignment agreements are required in nearly every position. Ann Bartow</w:t>
      </w:r>
      <w:r w:rsidRPr="00AB2860">
        <w:rPr>
          <w:rFonts w:hAnsi="Times New Roman" w:cs="Times New Roman"/>
          <w:i/>
          <w:iCs/>
          <w:sz w:val="20"/>
          <w:szCs w:val="20"/>
        </w:rPr>
        <w:t xml:space="preserve">, Inventors of the World, Unite! A Call for Collective Action by </w:t>
      </w:r>
      <w:r w:rsidRPr="00016B9E">
        <w:rPr>
          <w:i/>
          <w:iCs/>
          <w:sz w:val="20"/>
          <w:szCs w:val="20"/>
        </w:rPr>
        <w:t>Employee-Inventors</w:t>
      </w:r>
      <w:r w:rsidRPr="00016B9E">
        <w:rPr>
          <w:sz w:val="20"/>
          <w:szCs w:val="20"/>
        </w:rPr>
        <w:t xml:space="preserve">, 37 </w:t>
      </w:r>
      <w:r>
        <w:rPr>
          <w:rFonts w:hAnsi="Times New Roman"/>
          <w:smallCaps/>
          <w:sz w:val="20"/>
          <w:szCs w:val="20"/>
        </w:rPr>
        <w:t xml:space="preserve">Santa Clara L. Rev. </w:t>
      </w:r>
      <w:r>
        <w:rPr>
          <w:sz w:val="20"/>
          <w:szCs w:val="20"/>
        </w:rPr>
        <w:t xml:space="preserve">673 </w:t>
      </w:r>
      <w:r w:rsidRPr="00016B9E">
        <w:rPr>
          <w:sz w:val="20"/>
          <w:szCs w:val="20"/>
        </w:rPr>
        <w:t>(1997)</w:t>
      </w:r>
      <w:r>
        <w:rPr>
          <w:sz w:val="20"/>
          <w:szCs w:val="20"/>
        </w:rPr>
        <w:t>.</w:t>
      </w:r>
    </w:p>
  </w:footnote>
  <w:footnote w:id="79">
    <w:p w14:paraId="1F847965" w14:textId="77777777" w:rsidR="00E81370" w:rsidRPr="00016B9E" w:rsidRDefault="00E81370">
      <w:pPr>
        <w:pStyle w:val="FootnoteText"/>
        <w:ind w:firstLine="0"/>
      </w:pPr>
      <w:r w:rsidRPr="00016B9E">
        <w:rPr>
          <w:vertAlign w:val="superscript"/>
        </w:rPr>
        <w:footnoteRef/>
      </w:r>
      <w:r>
        <w:rPr>
          <w:lang w:val="de-DE"/>
        </w:rPr>
        <w:t xml:space="preserve"> </w:t>
      </w:r>
      <w:r w:rsidRPr="00016B9E">
        <w:rPr>
          <w:lang w:val="de-DE"/>
        </w:rPr>
        <w:t xml:space="preserve">Mazer v. Stein, 347 U.S. 201, 219 (1954). </w:t>
      </w:r>
    </w:p>
  </w:footnote>
  <w:footnote w:id="80">
    <w:p w14:paraId="3831E804" w14:textId="77777777" w:rsidR="00E81370" w:rsidRPr="00016B9E" w:rsidRDefault="00E81370" w:rsidP="00F949B9">
      <w:pPr>
        <w:pStyle w:val="FootnoteText"/>
        <w:ind w:firstLine="0"/>
      </w:pPr>
      <w:r w:rsidRPr="00016B9E">
        <w:rPr>
          <w:vertAlign w:val="superscript"/>
        </w:rPr>
        <w:footnoteRef/>
      </w:r>
      <w:r>
        <w:t xml:space="preserve"> </w:t>
      </w:r>
      <w:r w:rsidRPr="00016B9E">
        <w:t>Solomons v. United States</w:t>
      </w:r>
      <w:r w:rsidRPr="00016B9E">
        <w:rPr>
          <w:i/>
          <w:iCs/>
        </w:rPr>
        <w:t xml:space="preserve">, </w:t>
      </w:r>
      <w:r w:rsidRPr="00016B9E">
        <w:t>137 U</w:t>
      </w:r>
      <w:r>
        <w:t>.</w:t>
      </w:r>
      <w:r w:rsidRPr="00016B9E">
        <w:t>S</w:t>
      </w:r>
      <w:r>
        <w:t>.</w:t>
      </w:r>
      <w:r w:rsidRPr="00016B9E">
        <w:t xml:space="preserve"> 342, 346 (1890).</w:t>
      </w:r>
    </w:p>
  </w:footnote>
  <w:footnote w:id="81">
    <w:p w14:paraId="6D9EB080" w14:textId="77777777" w:rsidR="00E81370" w:rsidRPr="00016B9E" w:rsidRDefault="00E81370">
      <w:pPr>
        <w:pStyle w:val="FootnoteText"/>
        <w:ind w:firstLine="0"/>
      </w:pPr>
      <w:r w:rsidRPr="00016B9E">
        <w:rPr>
          <w:vertAlign w:val="superscript"/>
        </w:rPr>
        <w:footnoteRef/>
      </w:r>
      <w:r>
        <w:rPr>
          <w:color w:val="282828"/>
          <w:u w:color="282828"/>
        </w:rPr>
        <w:t xml:space="preserve"> </w:t>
      </w:r>
      <w:r w:rsidRPr="00016B9E">
        <w:rPr>
          <w:color w:val="282828"/>
          <w:u w:color="282828"/>
        </w:rPr>
        <w:t>With regard to copyright</w:t>
      </w:r>
      <w:r>
        <w:rPr>
          <w:color w:val="282828"/>
          <w:u w:color="282828"/>
        </w:rPr>
        <w:t xml:space="preserve">, </w:t>
      </w:r>
      <w:r w:rsidRPr="00016B9E">
        <w:t>Section 101 of the Copyright Act</w:t>
      </w:r>
      <w:r w:rsidRPr="00016B9E">
        <w:rPr>
          <w:color w:val="282828"/>
          <w:u w:color="282828"/>
        </w:rPr>
        <w:t xml:space="preserve"> defines a “work made for hire” as “a work prepared by an employee within the scope of his or her employment.</w:t>
      </w:r>
      <w:r>
        <w:rPr>
          <w:color w:val="282828"/>
          <w:u w:color="282828"/>
        </w:rPr>
        <w:t>”</w:t>
      </w:r>
      <w:r w:rsidRPr="00016B9E">
        <w:rPr>
          <w:color w:val="282828"/>
          <w:u w:color="282828"/>
        </w:rPr>
        <w:t xml:space="preserve"> The landmark victory for freelancer writers was </w:t>
      </w:r>
      <w:r w:rsidRPr="00FB41FF">
        <w:rPr>
          <w:color w:val="282828"/>
          <w:u w:color="282828"/>
        </w:rPr>
        <w:t>Tasini v. New York Times, Co.</w:t>
      </w:r>
      <w:r w:rsidRPr="00016B9E">
        <w:rPr>
          <w:color w:val="282828"/>
          <w:u w:color="282828"/>
        </w:rPr>
        <w:t>, 206 F.3d 161 (2d Cir. 1999) – but again, this was per the default</w:t>
      </w:r>
      <w:r>
        <w:rPr>
          <w:color w:val="282828"/>
          <w:u w:color="282828"/>
        </w:rPr>
        <w:t xml:space="preserve"> that as freelancers,</w:t>
      </w:r>
      <w:r w:rsidRPr="00016B9E">
        <w:rPr>
          <w:color w:val="282828"/>
          <w:u w:color="282828"/>
        </w:rPr>
        <w:t xml:space="preserve"> they owned the copyright</w:t>
      </w:r>
      <w:r>
        <w:rPr>
          <w:color w:val="282828"/>
          <w:u w:color="282828"/>
        </w:rPr>
        <w:t>,</w:t>
      </w:r>
      <w:r w:rsidRPr="00016B9E">
        <w:rPr>
          <w:color w:val="282828"/>
          <w:u w:color="282828"/>
        </w:rPr>
        <w:t xml:space="preserve"> but that loophole can be closed by contractual invention/creation assignment that freelancers now sign too.</w:t>
      </w:r>
    </w:p>
  </w:footnote>
  <w:footnote w:id="82">
    <w:p w14:paraId="7BE6108A" w14:textId="77777777" w:rsidR="00E81370" w:rsidRPr="003C07FE" w:rsidRDefault="00E81370" w:rsidP="000B68EB">
      <w:pPr>
        <w:pStyle w:val="FootnoteText"/>
        <w:ind w:firstLine="0"/>
      </w:pPr>
      <w:r w:rsidRPr="0030514D">
        <w:rPr>
          <w:vertAlign w:val="superscript"/>
        </w:rPr>
        <w:footnoteRef/>
      </w:r>
      <w:r w:rsidRPr="0030514D">
        <w:rPr>
          <w:shd w:val="clear" w:color="auto" w:fill="FFFFFF"/>
        </w:rPr>
        <w:t xml:space="preserve">Peter Caldwell, </w:t>
      </w:r>
      <w:r w:rsidRPr="003C07FE">
        <w:rPr>
          <w:i/>
          <w:iCs/>
          <w:shd w:val="clear" w:color="auto" w:fill="FFFFFF"/>
        </w:rPr>
        <w:t>Employment Agreements for the Inventing Worker: A Proposal For Reforming Trailer Clause Enforceability Guidelines</w:t>
      </w:r>
      <w:r w:rsidRPr="003C07FE">
        <w:rPr>
          <w:shd w:val="clear" w:color="auto" w:fill="FFFFFF"/>
        </w:rPr>
        <w:t xml:space="preserve">, 13 </w:t>
      </w:r>
      <w:r w:rsidRPr="003C07FE">
        <w:rPr>
          <w:smallCaps/>
          <w:shd w:val="clear" w:color="auto" w:fill="FFFFFF"/>
        </w:rPr>
        <w:t>J. Intell. Prop. L</w:t>
      </w:r>
      <w:r w:rsidRPr="003C07FE">
        <w:rPr>
          <w:shd w:val="clear" w:color="auto" w:fill="FFFFFF"/>
        </w:rPr>
        <w:t>. 279 (2005-2006)</w:t>
      </w:r>
      <w:r w:rsidRPr="003C07FE">
        <w:t>.</w:t>
      </w:r>
    </w:p>
  </w:footnote>
  <w:footnote w:id="83">
    <w:p w14:paraId="441569A8" w14:textId="77777777" w:rsidR="00E81370" w:rsidRPr="00C24430" w:rsidRDefault="00E81370" w:rsidP="00FF6CAD">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rFonts w:hAnsi="Times New Roman" w:cs="Times New Roman"/>
          <w:sz w:val="20"/>
          <w:szCs w:val="20"/>
        </w:rPr>
      </w:pPr>
      <w:r w:rsidRPr="003C07FE">
        <w:rPr>
          <w:rFonts w:hAnsi="Times New Roman" w:cs="Times New Roman"/>
          <w:sz w:val="20"/>
          <w:szCs w:val="20"/>
          <w:vertAlign w:val="superscript"/>
        </w:rPr>
        <w:footnoteRef/>
      </w:r>
      <w:r w:rsidRPr="003C07FE">
        <w:rPr>
          <w:rFonts w:eastAsia="Times" w:hAnsi="Times New Roman" w:cs="Times New Roman"/>
          <w:sz w:val="20"/>
          <w:szCs w:val="20"/>
        </w:rPr>
        <w:t xml:space="preserve"> Orly Lobel, </w:t>
      </w:r>
      <w:r w:rsidRPr="003C07FE">
        <w:rPr>
          <w:rFonts w:eastAsia="Times" w:hAnsi="Times New Roman" w:cs="Times New Roman"/>
          <w:i/>
          <w:iCs/>
          <w:sz w:val="20"/>
          <w:szCs w:val="20"/>
        </w:rPr>
        <w:t>My Idea, My Boss’s Property</w:t>
      </w:r>
      <w:r w:rsidRPr="003C07FE">
        <w:rPr>
          <w:rFonts w:eastAsia="Times" w:hAnsi="Times New Roman" w:cs="Times New Roman"/>
          <w:iCs/>
          <w:sz w:val="20"/>
          <w:szCs w:val="20"/>
        </w:rPr>
        <w:t xml:space="preserve">, </w:t>
      </w:r>
      <w:r w:rsidRPr="009342B8">
        <w:rPr>
          <w:rFonts w:eastAsia="Times" w:hAnsi="Times New Roman" w:cs="Times New Roman"/>
          <w:iCs/>
          <w:smallCaps/>
          <w:sz w:val="20"/>
          <w:szCs w:val="20"/>
        </w:rPr>
        <w:t>N.Y. Times</w:t>
      </w:r>
      <w:r>
        <w:rPr>
          <w:rFonts w:eastAsia="Times" w:hAnsi="Times New Roman" w:cs="Times New Roman"/>
          <w:iCs/>
          <w:sz w:val="20"/>
          <w:szCs w:val="20"/>
        </w:rPr>
        <w:t>,</w:t>
      </w:r>
      <w:r w:rsidRPr="003C07FE">
        <w:rPr>
          <w:rFonts w:eastAsia="Times" w:hAnsi="Times New Roman" w:cs="Times New Roman"/>
          <w:iCs/>
          <w:sz w:val="20"/>
          <w:szCs w:val="20"/>
        </w:rPr>
        <w:t xml:space="preserve"> Apr. 13, 2014</w:t>
      </w:r>
      <w:r w:rsidRPr="003C07FE">
        <w:rPr>
          <w:rFonts w:eastAsia="Times" w:hAnsi="Times New Roman" w:cs="Times New Roman"/>
          <w:sz w:val="20"/>
          <w:szCs w:val="20"/>
        </w:rPr>
        <w:t xml:space="preserve">; Steven Cherensky, </w:t>
      </w:r>
      <w:r w:rsidRPr="003C07FE">
        <w:rPr>
          <w:rFonts w:eastAsia="Times" w:hAnsi="Times New Roman" w:cs="Times New Roman"/>
          <w:i/>
          <w:iCs/>
          <w:sz w:val="20"/>
          <w:szCs w:val="20"/>
        </w:rPr>
        <w:t>A Penny for Their Thoughts: Employee-Inventors, Preinvention Assignment Agreements, Property, and Personhood</w:t>
      </w:r>
      <w:r w:rsidRPr="003C07FE">
        <w:rPr>
          <w:rFonts w:eastAsia="Times" w:hAnsi="Times New Roman" w:cs="Times New Roman"/>
          <w:sz w:val="20"/>
          <w:szCs w:val="20"/>
        </w:rPr>
        <w:t xml:space="preserve">, 81 </w:t>
      </w:r>
      <w:r w:rsidRPr="003C07FE">
        <w:rPr>
          <w:rFonts w:eastAsia="Times" w:hAnsi="Times New Roman" w:cs="Times New Roman"/>
          <w:smallCaps/>
          <w:sz w:val="20"/>
          <w:szCs w:val="20"/>
        </w:rPr>
        <w:t>Calif. L. Rev</w:t>
      </w:r>
      <w:r w:rsidRPr="003C07FE">
        <w:rPr>
          <w:rFonts w:eastAsia="Times" w:hAnsi="Times New Roman" w:cs="Times New Roman"/>
          <w:sz w:val="20"/>
          <w:szCs w:val="20"/>
        </w:rPr>
        <w:t xml:space="preserve">. 597 (1993). </w:t>
      </w:r>
      <w:r w:rsidRPr="00CE27BB">
        <w:rPr>
          <w:rFonts w:hAnsi="Times New Roman" w:cs="Times New Roman"/>
          <w:color w:val="auto"/>
          <w:sz w:val="20"/>
          <w:szCs w:val="20"/>
        </w:rPr>
        <w:t>It is worth noting that the American system of uncompensated contractual cognitive assignment is an exception among highly innovative countries. In the United States, private employers have no affirmative duty to compensate employees for profits derived from their inventions. By contrast, other countries with high patent competitiveness legally require businesses to pay fair compensation to the inventor who assigns an invention to them.</w:t>
      </w:r>
      <w:r w:rsidRPr="0030514D">
        <w:rPr>
          <w:rFonts w:hAnsi="Times New Roman" w:cs="Times New Roman"/>
          <w:color w:val="auto"/>
          <w:sz w:val="20"/>
          <w:szCs w:val="20"/>
        </w:rPr>
        <w:t xml:space="preserve"> </w:t>
      </w:r>
      <w:r w:rsidRPr="003C07FE">
        <w:rPr>
          <w:rFonts w:hAnsi="Times New Roman" w:cs="Times New Roman"/>
          <w:color w:val="auto"/>
          <w:sz w:val="20"/>
          <w:szCs w:val="20"/>
        </w:rPr>
        <w:t xml:space="preserve">Germany United Kingdom, France, Finland and Sweden all require fair compensation to the employee for any assigned invention. </w:t>
      </w:r>
      <w:r w:rsidRPr="003C07FE">
        <w:rPr>
          <w:rFonts w:hAnsi="Times New Roman" w:cs="Times New Roman"/>
          <w:sz w:val="20"/>
          <w:szCs w:val="20"/>
        </w:rPr>
        <w:t xml:space="preserve">Roland Kirstein &amp; Birgit Will, </w:t>
      </w:r>
      <w:r w:rsidRPr="003C07FE">
        <w:rPr>
          <w:rFonts w:hAnsi="Times New Roman" w:cs="Times New Roman"/>
          <w:i/>
          <w:iCs/>
          <w:sz w:val="20"/>
          <w:szCs w:val="20"/>
        </w:rPr>
        <w:t xml:space="preserve">Efficient Compensation for </w:t>
      </w:r>
      <w:r w:rsidRPr="003C07FE">
        <w:rPr>
          <w:rFonts w:hAnsi="Times New Roman"/>
          <w:i/>
          <w:iCs/>
          <w:sz w:val="20"/>
          <w:szCs w:val="20"/>
        </w:rPr>
        <w:t>Employees Compensatio</w:t>
      </w:r>
      <w:r w:rsidRPr="003C07FE">
        <w:rPr>
          <w:rFonts w:hAnsi="Times New Roman"/>
          <w:sz w:val="20"/>
          <w:szCs w:val="20"/>
        </w:rPr>
        <w:t xml:space="preserve">, </w:t>
      </w:r>
      <w:r w:rsidRPr="003C07FE">
        <w:rPr>
          <w:rFonts w:hAnsi="Times New Roman"/>
          <w:smallCaps/>
          <w:sz w:val="20"/>
          <w:szCs w:val="20"/>
        </w:rPr>
        <w:t>21 Eur. J.L. Econ</w:t>
      </w:r>
      <w:r w:rsidRPr="003C07FE">
        <w:rPr>
          <w:rFonts w:hAnsi="Times New Roman"/>
          <w:sz w:val="20"/>
          <w:szCs w:val="20"/>
        </w:rPr>
        <w:t>. 1, 129-148 (2006)</w:t>
      </w:r>
      <w:r w:rsidRPr="003C07FE">
        <w:rPr>
          <w:rFonts w:hAnsi="Times New Roman" w:cs="Times New Roman"/>
          <w:sz w:val="20"/>
          <w:szCs w:val="20"/>
        </w:rPr>
        <w:t xml:space="preserve">; </w:t>
      </w:r>
      <w:r w:rsidRPr="003C07FE">
        <w:rPr>
          <w:rFonts w:hAnsi="Times New Roman" w:cs="Times New Roman"/>
          <w:color w:val="141412"/>
          <w:sz w:val="20"/>
          <w:szCs w:val="20"/>
          <w:u w:color="141412"/>
          <w:shd w:val="clear" w:color="auto" w:fill="FFFFFF"/>
        </w:rPr>
        <w:t xml:space="preserve">Ian Shanks v. Unilever EWHC 1647 (England &amp; Wales High Court of Justice, Patents Court) (2014). </w:t>
      </w:r>
      <w:r>
        <w:rPr>
          <w:rFonts w:hAnsi="Times New Roman" w:cs="Times New Roman"/>
          <w:color w:val="auto"/>
          <w:sz w:val="20"/>
          <w:szCs w:val="20"/>
        </w:rPr>
        <w:t xml:space="preserve">China </w:t>
      </w:r>
      <w:r w:rsidRPr="003C07FE">
        <w:rPr>
          <w:rFonts w:hAnsi="Times New Roman" w:cs="Times New Roman"/>
          <w:color w:val="auto"/>
          <w:sz w:val="20"/>
          <w:szCs w:val="20"/>
        </w:rPr>
        <w:t xml:space="preserve">and Japan similarly guarantees employee-inventors a reward for assigned work. </w:t>
      </w:r>
      <w:r w:rsidRPr="003C07FE">
        <w:rPr>
          <w:rFonts w:hAnsi="Times New Roman" w:cs="Times New Roman"/>
          <w:sz w:val="20"/>
          <w:szCs w:val="20"/>
        </w:rPr>
        <w:t xml:space="preserve">Vai Io Lo, </w:t>
      </w:r>
      <w:r w:rsidRPr="003C07FE">
        <w:rPr>
          <w:rFonts w:hAnsi="Times New Roman" w:cs="Times New Roman"/>
          <w:i/>
          <w:iCs/>
          <w:sz w:val="20"/>
          <w:szCs w:val="20"/>
        </w:rPr>
        <w:t>Employee Inventions and Works for Hire in Japan</w:t>
      </w:r>
      <w:r w:rsidRPr="003C07FE">
        <w:rPr>
          <w:rFonts w:hAnsi="Times New Roman" w:cs="Times New Roman"/>
          <w:sz w:val="20"/>
          <w:szCs w:val="20"/>
        </w:rPr>
        <w:t xml:space="preserve">, 16 </w:t>
      </w:r>
      <w:r w:rsidRPr="003C07FE">
        <w:rPr>
          <w:rFonts w:hAnsi="Times New Roman" w:cs="Times New Roman"/>
          <w:smallCaps/>
          <w:sz w:val="20"/>
          <w:szCs w:val="20"/>
        </w:rPr>
        <w:t xml:space="preserve">Temp. Int'l &amp; Comp. L.J. </w:t>
      </w:r>
      <w:r w:rsidRPr="003C07FE">
        <w:rPr>
          <w:rFonts w:hAnsi="Times New Roman" w:cs="Times New Roman"/>
          <w:sz w:val="20"/>
          <w:szCs w:val="20"/>
        </w:rPr>
        <w:t>279, 306 (2002).</w:t>
      </w:r>
    </w:p>
  </w:footnote>
  <w:footnote w:id="84">
    <w:p w14:paraId="04831EB0" w14:textId="77777777" w:rsidR="00E81370" w:rsidRDefault="00E81370" w:rsidP="00C24430">
      <w:pPr>
        <w:pStyle w:val="FootnoteText"/>
        <w:ind w:firstLine="0"/>
      </w:pPr>
      <w:r>
        <w:rPr>
          <w:rStyle w:val="FootnoteReference"/>
        </w:rPr>
        <w:footnoteRef/>
      </w:r>
      <w:r w:rsidRPr="00C24430">
        <w:rPr>
          <w:rStyle w:val="Emphasis"/>
          <w:i w:val="0"/>
        </w:rPr>
        <w:t>Preston v. Marathon Oil Company</w:t>
      </w:r>
      <w:r w:rsidRPr="00C24430">
        <w:t>, 684 F.3d 1276 (Fed. Cir. 2012).</w:t>
      </w:r>
    </w:p>
  </w:footnote>
  <w:footnote w:id="85">
    <w:p w14:paraId="353CF272" w14:textId="77777777" w:rsidR="00E81370" w:rsidRPr="00375C2E" w:rsidRDefault="00E81370" w:rsidP="00AC5851">
      <w:pPr>
        <w:pStyle w:val="FootnoteText"/>
        <w:ind w:firstLine="0"/>
        <w:rPr>
          <w:color w:val="auto"/>
        </w:rPr>
      </w:pPr>
      <w:r w:rsidRPr="00375C2E">
        <w:rPr>
          <w:rStyle w:val="FootnoteReference"/>
          <w:color w:val="auto"/>
        </w:rPr>
        <w:footnoteRef/>
      </w:r>
      <w:r>
        <w:rPr>
          <w:rStyle w:val="apple-converted-space"/>
          <w:color w:val="auto"/>
        </w:rPr>
        <w:t xml:space="preserve"> </w:t>
      </w:r>
      <w:r>
        <w:rPr>
          <w:color w:val="auto"/>
        </w:rPr>
        <w:t>Tabrosky v. Florida, 659 So. 2d 1112 (Fla. Dist. Ct. App. 1995).</w:t>
      </w:r>
    </w:p>
  </w:footnote>
  <w:footnote w:id="86">
    <w:p w14:paraId="7E2DD534" w14:textId="77777777" w:rsidR="00E81370" w:rsidRPr="00AB2860" w:rsidRDefault="00E81370" w:rsidP="0023710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left"/>
        <w:rPr>
          <w:sz w:val="20"/>
          <w:szCs w:val="20"/>
        </w:rPr>
      </w:pPr>
      <w:r w:rsidRPr="00AB2860">
        <w:rPr>
          <w:rStyle w:val="FootnoteReference"/>
          <w:sz w:val="20"/>
          <w:szCs w:val="20"/>
        </w:rPr>
        <w:footnoteRef/>
      </w:r>
      <w:r>
        <w:rPr>
          <w:rFonts w:hAnsi="Times New Roman" w:cs="Times New Roman"/>
          <w:iCs/>
          <w:color w:val="auto"/>
          <w:sz w:val="20"/>
          <w:szCs w:val="20"/>
          <w:lang w:bidi="he-IL"/>
        </w:rPr>
        <w:t xml:space="preserve"> </w:t>
      </w:r>
      <w:r w:rsidRPr="006A394D">
        <w:rPr>
          <w:rFonts w:hAnsi="Times New Roman" w:cs="Times New Roman"/>
          <w:iCs/>
          <w:color w:val="auto"/>
          <w:sz w:val="20"/>
          <w:szCs w:val="20"/>
          <w:lang w:bidi="he-IL"/>
        </w:rPr>
        <w:t>Bd. of Trs</w:t>
      </w:r>
      <w:r w:rsidRPr="00CC2037">
        <w:rPr>
          <w:rFonts w:hAnsi="Times New Roman" w:cs="Times New Roman"/>
          <w:iCs/>
          <w:color w:val="auto"/>
          <w:sz w:val="20"/>
          <w:szCs w:val="20"/>
          <w:lang w:bidi="he-IL"/>
        </w:rPr>
        <w:t>.</w:t>
      </w:r>
      <w:r w:rsidRPr="007D0536">
        <w:rPr>
          <w:rFonts w:hAnsi="Times New Roman" w:cs="Times New Roman"/>
          <w:iCs/>
          <w:color w:val="auto"/>
          <w:sz w:val="20"/>
          <w:szCs w:val="20"/>
          <w:lang w:bidi="he-IL"/>
        </w:rPr>
        <w:t xml:space="preserve"> of Leland Stanford Jr. Univ. v. Roche Molecular Sys., Inc.</w:t>
      </w:r>
      <w:r w:rsidRPr="007D0536">
        <w:rPr>
          <w:rFonts w:hAnsi="Times New Roman" w:cs="Times New Roman"/>
          <w:color w:val="auto"/>
          <w:sz w:val="20"/>
          <w:szCs w:val="20"/>
          <w:lang w:bidi="he-IL"/>
        </w:rPr>
        <w:t>, 131S</w:t>
      </w:r>
      <w:r w:rsidRPr="006A394D">
        <w:rPr>
          <w:rFonts w:hAnsi="Times New Roman" w:cs="Times New Roman"/>
          <w:color w:val="auto"/>
          <w:sz w:val="20"/>
          <w:szCs w:val="20"/>
          <w:lang w:bidi="he-IL"/>
        </w:rPr>
        <w:t xml:space="preserve">. Ct. 2188, 2199 &amp; 2203 (2011). </w:t>
      </w:r>
    </w:p>
  </w:footnote>
  <w:footnote w:id="87">
    <w:p w14:paraId="3F592B45" w14:textId="77777777" w:rsidR="00E81370" w:rsidRDefault="00E81370" w:rsidP="00AB2588">
      <w:pPr>
        <w:overflowPunct w:val="0"/>
        <w:autoSpaceDE w:val="0"/>
        <w:autoSpaceDN w:val="0"/>
        <w:ind w:right="54" w:firstLine="0"/>
      </w:pPr>
      <w:r w:rsidRPr="00AB2860">
        <w:rPr>
          <w:rStyle w:val="FootnoteReference"/>
          <w:sz w:val="20"/>
          <w:szCs w:val="20"/>
        </w:rPr>
        <w:footnoteRef/>
      </w:r>
      <w:r w:rsidRPr="006A394D">
        <w:rPr>
          <w:rFonts w:hAnsi="Times New Roman" w:cs="Times New Roman"/>
          <w:sz w:val="20"/>
          <w:szCs w:val="20"/>
        </w:rPr>
        <w:t xml:space="preserve"> </w:t>
      </w:r>
      <w:r w:rsidRPr="00CC2037">
        <w:rPr>
          <w:rFonts w:hAnsi="Times New Roman" w:cs="Times New Roman"/>
          <w:iCs/>
          <w:sz w:val="20"/>
          <w:szCs w:val="20"/>
        </w:rPr>
        <w:t>Jos</w:t>
      </w:r>
      <w:r w:rsidRPr="007D0536">
        <w:rPr>
          <w:rFonts w:hAnsi="Times New Roman" w:cs="Times New Roman"/>
          <w:iCs/>
          <w:spacing w:val="-3"/>
          <w:sz w:val="20"/>
          <w:szCs w:val="20"/>
        </w:rPr>
        <w:t>e</w:t>
      </w:r>
      <w:r w:rsidRPr="007D0536">
        <w:rPr>
          <w:rFonts w:hAnsi="Times New Roman" w:cs="Times New Roman"/>
          <w:iCs/>
          <w:sz w:val="20"/>
          <w:szCs w:val="20"/>
        </w:rPr>
        <w:t>ph Story</w:t>
      </w:r>
      <w:r w:rsidRPr="006A394D">
        <w:rPr>
          <w:rFonts w:hAnsi="Times New Roman" w:cs="Times New Roman"/>
          <w:i/>
          <w:iCs/>
          <w:sz w:val="20"/>
          <w:szCs w:val="20"/>
        </w:rPr>
        <w:t>, Equity Jur</w:t>
      </w:r>
      <w:r w:rsidRPr="006A394D">
        <w:rPr>
          <w:rFonts w:hAnsi="Times New Roman" w:cs="Times New Roman"/>
          <w:i/>
          <w:iCs/>
          <w:spacing w:val="-3"/>
          <w:sz w:val="20"/>
          <w:szCs w:val="20"/>
        </w:rPr>
        <w:t>i</w:t>
      </w:r>
      <w:r w:rsidRPr="006A394D">
        <w:rPr>
          <w:rFonts w:hAnsi="Times New Roman" w:cs="Times New Roman"/>
          <w:i/>
          <w:iCs/>
          <w:sz w:val="20"/>
          <w:szCs w:val="20"/>
        </w:rPr>
        <w:t>sp</w:t>
      </w:r>
      <w:r w:rsidRPr="006A394D">
        <w:rPr>
          <w:rFonts w:hAnsi="Times New Roman" w:cs="Times New Roman"/>
          <w:i/>
          <w:iCs/>
          <w:spacing w:val="-3"/>
          <w:sz w:val="20"/>
          <w:szCs w:val="20"/>
        </w:rPr>
        <w:t>r</w:t>
      </w:r>
      <w:r w:rsidRPr="006A394D">
        <w:rPr>
          <w:rFonts w:hAnsi="Times New Roman" w:cs="Times New Roman"/>
          <w:i/>
          <w:iCs/>
          <w:sz w:val="20"/>
          <w:szCs w:val="20"/>
        </w:rPr>
        <w:t>uden</w:t>
      </w:r>
      <w:r w:rsidRPr="006A394D">
        <w:rPr>
          <w:rFonts w:hAnsi="Times New Roman" w:cs="Times New Roman"/>
          <w:i/>
          <w:iCs/>
          <w:spacing w:val="-3"/>
          <w:sz w:val="20"/>
          <w:szCs w:val="20"/>
        </w:rPr>
        <w:t>ce</w:t>
      </w:r>
      <w:r w:rsidRPr="006A394D">
        <w:rPr>
          <w:rFonts w:hAnsi="Times New Roman" w:cs="Times New Roman"/>
          <w:sz w:val="20"/>
          <w:szCs w:val="20"/>
        </w:rPr>
        <w:t xml:space="preserve">, § </w:t>
      </w:r>
      <w:r w:rsidRPr="006A394D">
        <w:rPr>
          <w:rFonts w:hAnsi="Times New Roman" w:cs="Times New Roman"/>
          <w:spacing w:val="2"/>
          <w:sz w:val="20"/>
          <w:szCs w:val="20"/>
        </w:rPr>
        <w:t>1</w:t>
      </w:r>
      <w:r w:rsidRPr="006A394D">
        <w:rPr>
          <w:rFonts w:hAnsi="Times New Roman" w:cs="Times New Roman"/>
          <w:sz w:val="20"/>
          <w:szCs w:val="20"/>
        </w:rPr>
        <w:t>04</w:t>
      </w:r>
      <w:r w:rsidRPr="006A394D">
        <w:rPr>
          <w:rFonts w:hAnsi="Times New Roman" w:cs="Times New Roman"/>
          <w:spacing w:val="2"/>
          <w:sz w:val="20"/>
          <w:szCs w:val="20"/>
        </w:rPr>
        <w:t>0</w:t>
      </w:r>
      <w:r w:rsidRPr="006A394D">
        <w:rPr>
          <w:rFonts w:hAnsi="Times New Roman" w:cs="Times New Roman"/>
          <w:sz w:val="20"/>
          <w:szCs w:val="20"/>
        </w:rPr>
        <w:t>, p. 4</w:t>
      </w:r>
      <w:r w:rsidRPr="006A394D">
        <w:rPr>
          <w:rFonts w:hAnsi="Times New Roman" w:cs="Times New Roman"/>
          <w:spacing w:val="2"/>
          <w:sz w:val="20"/>
          <w:szCs w:val="20"/>
        </w:rPr>
        <w:t>0</w:t>
      </w:r>
      <w:r w:rsidRPr="006A394D">
        <w:rPr>
          <w:rFonts w:hAnsi="Times New Roman" w:cs="Times New Roman"/>
          <w:sz w:val="20"/>
          <w:szCs w:val="20"/>
        </w:rPr>
        <w:t>7 (6th ed. 18</w:t>
      </w:r>
      <w:r w:rsidRPr="006A394D">
        <w:rPr>
          <w:rFonts w:hAnsi="Times New Roman" w:cs="Times New Roman"/>
          <w:spacing w:val="2"/>
          <w:sz w:val="20"/>
          <w:szCs w:val="20"/>
        </w:rPr>
        <w:t>5</w:t>
      </w:r>
      <w:r w:rsidRPr="006A394D">
        <w:rPr>
          <w:rFonts w:hAnsi="Times New Roman" w:cs="Times New Roman"/>
          <w:sz w:val="20"/>
          <w:szCs w:val="20"/>
        </w:rPr>
        <w:t>3).</w:t>
      </w:r>
    </w:p>
  </w:footnote>
  <w:footnote w:id="88">
    <w:p w14:paraId="5ADDC7D0" w14:textId="77777777" w:rsidR="00E81370" w:rsidRPr="00AB2860" w:rsidRDefault="00E81370" w:rsidP="00972300">
      <w:pPr>
        <w:autoSpaceDE w:val="0"/>
        <w:autoSpaceDN w:val="0"/>
        <w:ind w:firstLine="0"/>
        <w:rPr>
          <w:rFonts w:hAnsi="Times New Roman" w:cs="Times New Roman"/>
        </w:rPr>
      </w:pPr>
      <w:r w:rsidRPr="00CC2037">
        <w:rPr>
          <w:rStyle w:val="FootnoteReference"/>
          <w:rFonts w:hAnsi="Times New Roman" w:cs="Times New Roman"/>
          <w:sz w:val="20"/>
          <w:szCs w:val="20"/>
        </w:rPr>
        <w:footnoteRef/>
      </w:r>
      <w:r w:rsidRPr="00CC2037">
        <w:rPr>
          <w:rFonts w:hAnsi="Times New Roman" w:cs="Times New Roman"/>
          <w:sz w:val="20"/>
          <w:szCs w:val="20"/>
        </w:rPr>
        <w:t xml:space="preserve">UCC 2-105(2). </w:t>
      </w:r>
    </w:p>
  </w:footnote>
  <w:footnote w:id="89">
    <w:p w14:paraId="094756ED" w14:textId="77777777" w:rsidR="00E81370" w:rsidRDefault="00E81370" w:rsidP="00FA24DA">
      <w:pPr>
        <w:pStyle w:val="FootnoteText"/>
        <w:ind w:firstLine="0"/>
      </w:pPr>
      <w:r>
        <w:rPr>
          <w:rStyle w:val="FootnoteReference"/>
        </w:rPr>
        <w:footnoteRef/>
      </w:r>
      <w:r>
        <w:t xml:space="preserve"> Google contract, </w:t>
      </w:r>
      <w:r w:rsidRPr="00375C2E">
        <w:rPr>
          <w:i/>
        </w:rPr>
        <w:t>supra</w:t>
      </w:r>
      <w:r>
        <w:t xml:space="preserve"> note </w:t>
      </w:r>
      <w:r>
        <w:fldChar w:fldCharType="begin"/>
      </w:r>
      <w:r>
        <w:instrText xml:space="preserve"> NOTEREF _Ref265933612 \h </w:instrText>
      </w:r>
      <w:r>
        <w:fldChar w:fldCharType="separate"/>
      </w:r>
      <w:r w:rsidR="0039144E">
        <w:t>42</w:t>
      </w:r>
      <w:r>
        <w:fldChar w:fldCharType="end"/>
      </w:r>
      <w:r>
        <w:t>.</w:t>
      </w:r>
    </w:p>
  </w:footnote>
  <w:footnote w:id="90">
    <w:p w14:paraId="10DE65D7" w14:textId="77777777" w:rsidR="00E81370" w:rsidRPr="007D0536" w:rsidRDefault="00E81370" w:rsidP="00ED77D7">
      <w:pPr>
        <w:pStyle w:val="FootnoteText"/>
        <w:ind w:firstLine="0"/>
      </w:pPr>
      <w:r w:rsidRPr="00CC2037">
        <w:rPr>
          <w:rStyle w:val="FootnoteReference"/>
        </w:rPr>
        <w:footnoteRef/>
      </w:r>
      <w:r w:rsidRPr="008505E1">
        <w:t xml:space="preserve"> Such an omission is in violation of the Patent Act (e.g.) requiring that patent applications can only be made by the true inventors. Sec</w:t>
      </w:r>
      <w:r w:rsidRPr="007D0536">
        <w:t>tions 111, 115 and 116.</w:t>
      </w:r>
    </w:p>
  </w:footnote>
  <w:footnote w:id="91">
    <w:p w14:paraId="3EF5B53C" w14:textId="77777777" w:rsidR="00E81370" w:rsidRPr="00E76FCE" w:rsidRDefault="00E81370" w:rsidP="00EE09BC">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imes" w:eastAsia="Times New Roman" w:hAnsi="Times" w:cs="Times New Roman"/>
          <w:color w:val="auto"/>
          <w:sz w:val="20"/>
          <w:szCs w:val="20"/>
          <w:bdr w:val="none" w:sz="0" w:space="0" w:color="auto"/>
        </w:rPr>
      </w:pPr>
      <w:r w:rsidRPr="00CC2037">
        <w:rPr>
          <w:rStyle w:val="FootnoteReference"/>
          <w:rFonts w:hAnsi="Times New Roman" w:cs="Times New Roman"/>
          <w:sz w:val="20"/>
          <w:szCs w:val="20"/>
        </w:rPr>
        <w:footnoteRef/>
      </w:r>
      <w:r w:rsidRPr="00CC2037">
        <w:rPr>
          <w:rFonts w:hAnsi="Times New Roman" w:cs="Times New Roman"/>
          <w:iCs/>
          <w:color w:val="auto"/>
          <w:sz w:val="20"/>
          <w:szCs w:val="20"/>
          <w:lang w:bidi="he-IL"/>
        </w:rPr>
        <w:t xml:space="preserve"> </w:t>
      </w:r>
      <w:r w:rsidRPr="00EE09BC">
        <w:rPr>
          <w:rFonts w:eastAsia="Times New Roman" w:hAnsi="Times New Roman" w:cs="Times New Roman"/>
          <w:color w:val="auto"/>
          <w:sz w:val="20"/>
          <w:szCs w:val="20"/>
          <w:bdr w:val="none" w:sz="0" w:space="0" w:color="auto"/>
        </w:rPr>
        <w:t>Shukh v. Seagate Tech., LLC</w:t>
      </w:r>
      <w:r w:rsidRPr="00817541">
        <w:rPr>
          <w:rFonts w:eastAsia="Times New Roman" w:hAnsi="Times New Roman" w:cs="Times New Roman"/>
          <w:color w:val="auto"/>
          <w:sz w:val="20"/>
          <w:szCs w:val="20"/>
          <w:bdr w:val="none" w:sz="0" w:space="0" w:color="auto"/>
        </w:rPr>
        <w:t>,</w:t>
      </w:r>
      <w:r w:rsidRPr="00AB2860">
        <w:rPr>
          <w:rFonts w:eastAsia="Times New Roman" w:hAnsi="Times New Roman" w:cs="Times New Roman"/>
          <w:color w:val="auto"/>
          <w:sz w:val="20"/>
          <w:szCs w:val="20"/>
          <w:bdr w:val="none" w:sz="0" w:space="0" w:color="auto"/>
        </w:rPr>
        <w:t xml:space="preserve"> CIV. 10-404 JRT/JJK, 2014 WL 1281518 (D. Minn. Mar. 31, 2014).</w:t>
      </w:r>
    </w:p>
  </w:footnote>
  <w:footnote w:id="92">
    <w:p w14:paraId="73368740" w14:textId="77777777" w:rsidR="00E81370" w:rsidRPr="008505E1" w:rsidRDefault="00E81370" w:rsidP="00C24430">
      <w:pPr>
        <w:pStyle w:val="FootnoteText"/>
        <w:ind w:firstLine="0"/>
      </w:pPr>
      <w:r w:rsidRPr="008505E1">
        <w:rPr>
          <w:rStyle w:val="FootnoteReference"/>
        </w:rPr>
        <w:footnoteRef/>
      </w:r>
      <w:r w:rsidRPr="007D0536">
        <w:rPr>
          <w:i/>
          <w:iCs/>
        </w:rPr>
        <w:t xml:space="preserve">See </w:t>
      </w:r>
      <w:r w:rsidRPr="007D0536">
        <w:rPr>
          <w:iCs/>
        </w:rPr>
        <w:t>Chou v. Univ. of Chi. &amp; Arch Dev. Corp</w:t>
      </w:r>
      <w:r w:rsidRPr="007D0536">
        <w:rPr>
          <w:i/>
          <w:iCs/>
        </w:rPr>
        <w:t>.,</w:t>
      </w:r>
      <w:r w:rsidRPr="007D0536">
        <w:t xml:space="preserve"> 254 F.3d 1347 (Fed</w:t>
      </w:r>
      <w:r w:rsidRPr="00AB2860">
        <w:t>. Cir. 2001)</w:t>
      </w:r>
      <w:r>
        <w:t>.</w:t>
      </w:r>
    </w:p>
  </w:footnote>
  <w:footnote w:id="93">
    <w:p w14:paraId="0DEF94E5" w14:textId="77777777" w:rsidR="00E81370" w:rsidRPr="008505E1" w:rsidRDefault="00E81370" w:rsidP="00C24430">
      <w:pPr>
        <w:pStyle w:val="FootnoteText"/>
        <w:ind w:firstLine="0"/>
      </w:pPr>
      <w:r w:rsidRPr="00AB2860">
        <w:rPr>
          <w:rStyle w:val="FootnoteReference"/>
        </w:rPr>
        <w:footnoteRef/>
      </w:r>
      <w:r w:rsidRPr="00AB2860">
        <w:t xml:space="preserve">In </w:t>
      </w:r>
      <w:r w:rsidRPr="00EE09BC">
        <w:rPr>
          <w:iCs/>
        </w:rPr>
        <w:t>Larson v. Correct Craft, Inc</w:t>
      </w:r>
      <w:r w:rsidRPr="00B90B19">
        <w:t>.</w:t>
      </w:r>
      <w:r w:rsidRPr="00AB2860">
        <w:t xml:space="preserve">, 569 F.3d 1319, 1327 (Fed. Cir. 2009) and </w:t>
      </w:r>
      <w:r w:rsidRPr="00EE09BC">
        <w:rPr>
          <w:iCs/>
        </w:rPr>
        <w:t>Jim Arnold Corp. v. Hydrotech Sys., Inc.</w:t>
      </w:r>
      <w:r w:rsidRPr="00AB2860">
        <w:rPr>
          <w:i/>
          <w:iCs/>
        </w:rPr>
        <w:t>,</w:t>
      </w:r>
      <w:r w:rsidRPr="00AB2860">
        <w:t xml:space="preserve"> 109 F.3d 1567, 1571-72 (Fed. Cir. 1997)</w:t>
      </w:r>
      <w:r>
        <w:t>.</w:t>
      </w:r>
    </w:p>
  </w:footnote>
  <w:footnote w:id="94">
    <w:p w14:paraId="3B2FC55F" w14:textId="77777777" w:rsidR="00E81370" w:rsidRPr="00A90AF3" w:rsidRDefault="00E81370" w:rsidP="002907E9">
      <w:pPr>
        <w:ind w:firstLine="0"/>
        <w:rPr>
          <w:sz w:val="20"/>
          <w:szCs w:val="20"/>
        </w:rPr>
      </w:pPr>
      <w:r w:rsidRPr="00375C2E">
        <w:rPr>
          <w:rStyle w:val="FootnoteReference"/>
          <w:sz w:val="20"/>
          <w:szCs w:val="20"/>
        </w:rPr>
        <w:footnoteRef/>
      </w:r>
      <w:r w:rsidRPr="00375C2E">
        <w:rPr>
          <w:sz w:val="20"/>
          <w:szCs w:val="20"/>
        </w:rPr>
        <w:t xml:space="preserve"> </w:t>
      </w:r>
      <w:r w:rsidRPr="00A90AF3">
        <w:rPr>
          <w:rFonts w:eastAsia="Times New Roman" w:hAnsi="Times New Roman" w:cs="Times New Roman"/>
          <w:color w:val="auto"/>
          <w:sz w:val="20"/>
          <w:szCs w:val="20"/>
          <w:bdr w:val="none" w:sz="0" w:space="0" w:color="auto"/>
        </w:rPr>
        <w:t>Shukh v. Seagate Tech., LLC</w:t>
      </w:r>
      <w:r w:rsidRPr="00F42531">
        <w:rPr>
          <w:rFonts w:eastAsia="Times New Roman" w:hAnsi="Times New Roman" w:cs="Times New Roman"/>
          <w:color w:val="auto"/>
          <w:sz w:val="20"/>
          <w:szCs w:val="20"/>
          <w:bdr w:val="none" w:sz="0" w:space="0" w:color="auto"/>
        </w:rPr>
        <w:t>, CIV. 10-404 JRT/JJK, 2014 WL 1</w:t>
      </w:r>
      <w:r w:rsidRPr="003F7B6D">
        <w:rPr>
          <w:rFonts w:eastAsia="Times New Roman" w:hAnsi="Times New Roman" w:cs="Times New Roman"/>
          <w:color w:val="auto"/>
          <w:sz w:val="20"/>
          <w:szCs w:val="20"/>
          <w:bdr w:val="none" w:sz="0" w:space="0" w:color="auto"/>
        </w:rPr>
        <w:t>281518 (D. Minn. Mar. 31, 2014); currently on appeal, e</w:t>
      </w:r>
      <w:r w:rsidRPr="007C3875">
        <w:rPr>
          <w:rFonts w:hAnsi="Times New Roman" w:cs="Times New Roman"/>
          <w:sz w:val="20"/>
          <w:szCs w:val="20"/>
        </w:rPr>
        <w:t>xchange with Chris Gekas, attorney of Alex Shukh, 10 June 2014.</w:t>
      </w:r>
    </w:p>
  </w:footnote>
  <w:footnote w:id="95">
    <w:p w14:paraId="32B39F7C" w14:textId="77777777" w:rsidR="00E81370" w:rsidRPr="00A90AF3" w:rsidRDefault="00E81370">
      <w:pPr>
        <w:pStyle w:val="FootnoteText"/>
        <w:ind w:firstLine="0"/>
      </w:pPr>
      <w:r w:rsidRPr="00A90AF3">
        <w:rPr>
          <w:vertAlign w:val="superscript"/>
        </w:rPr>
        <w:footnoteRef/>
      </w:r>
      <w:r w:rsidRPr="00A90AF3">
        <w:rPr>
          <w:shd w:val="clear" w:color="auto" w:fill="FFFFFF"/>
        </w:rPr>
        <w:t xml:space="preserve"> Ingersoll-Rand Co. v. Ciavatta, 542 A.2d 879, 887 (N.J. 1988).</w:t>
      </w:r>
    </w:p>
  </w:footnote>
  <w:footnote w:id="96">
    <w:p w14:paraId="2FFA26F3" w14:textId="77777777" w:rsidR="00E81370" w:rsidRPr="008D6631" w:rsidRDefault="00E81370" w:rsidP="00E13960">
      <w:pPr>
        <w:ind w:firstLine="0"/>
        <w:rPr>
          <w:rFonts w:hAnsi="Times New Roman" w:cs="Times New Roman"/>
          <w:sz w:val="20"/>
          <w:szCs w:val="20"/>
        </w:rPr>
      </w:pPr>
      <w:r w:rsidRPr="008D6631">
        <w:rPr>
          <w:rFonts w:hAnsi="Times New Roman" w:cs="Times New Roman"/>
          <w:sz w:val="20"/>
          <w:szCs w:val="20"/>
          <w:vertAlign w:val="superscript"/>
        </w:rPr>
        <w:footnoteRef/>
      </w:r>
      <w:r w:rsidRPr="008D6631">
        <w:rPr>
          <w:rFonts w:hAnsi="Times New Roman" w:cs="Times New Roman"/>
          <w:sz w:val="20"/>
          <w:szCs w:val="20"/>
        </w:rPr>
        <w:t xml:space="preserve"> </w:t>
      </w:r>
      <w:r w:rsidRPr="00375C2E">
        <w:rPr>
          <w:rFonts w:hAnsi="Times New Roman" w:cs="Times New Roman"/>
          <w:sz w:val="20"/>
          <w:szCs w:val="20"/>
        </w:rPr>
        <w:t xml:space="preserve">For example, in </w:t>
      </w:r>
      <w:r w:rsidRPr="00375C2E">
        <w:rPr>
          <w:rFonts w:hAnsi="Times New Roman" w:cs="Times New Roman"/>
          <w:i/>
          <w:sz w:val="20"/>
          <w:szCs w:val="20"/>
        </w:rPr>
        <w:t>Fed. Screw Works v. Interface Sys.</w:t>
      </w:r>
      <w:r w:rsidRPr="00375C2E">
        <w:rPr>
          <w:rFonts w:hAnsi="Times New Roman" w:cs="Times New Roman"/>
          <w:sz w:val="20"/>
          <w:szCs w:val="20"/>
        </w:rPr>
        <w:t xml:space="preserve">, the court held that a trailer clause for an indefinite period of time requiring former employees to turn over all inventions covering subjects both within the company’s field of activity or “contemplated field of activity” was too restrictive and overbroad. The court held that </w:t>
      </w:r>
      <w:r>
        <w:rPr>
          <w:rFonts w:hAnsi="Times New Roman" w:cs="Times New Roman"/>
          <w:sz w:val="20"/>
          <w:szCs w:val="20"/>
        </w:rPr>
        <w:t>“i</w:t>
      </w:r>
      <w:r w:rsidRPr="00375C2E">
        <w:rPr>
          <w:rFonts w:hAnsi="Times New Roman" w:cs="Times New Roman"/>
          <w:sz w:val="20"/>
          <w:szCs w:val="20"/>
        </w:rPr>
        <w:t>t is not reasonable to confiscate all new inventions made by the employees for which Interface might have an interest.” Fed. Screw Works v. Interface Sys., Inc., 569 F. Supp. 1562, 1564 (E.D. Mich. 1983).</w:t>
      </w:r>
    </w:p>
  </w:footnote>
  <w:footnote w:id="97">
    <w:p w14:paraId="2AB4F605" w14:textId="77777777" w:rsidR="00E81370" w:rsidRPr="00A90AF3" w:rsidRDefault="00E81370" w:rsidP="002907E9">
      <w:pPr>
        <w:pStyle w:val="FootnoteText"/>
        <w:ind w:firstLine="0"/>
      </w:pPr>
      <w:r w:rsidRPr="007C3875">
        <w:rPr>
          <w:shd w:val="clear" w:color="auto" w:fill="FFFFFF"/>
          <w:vertAlign w:val="superscript"/>
        </w:rPr>
        <w:footnoteRef/>
      </w:r>
      <w:r w:rsidRPr="008D6631">
        <w:t xml:space="preserve"> Marc B. Hershovitz</w:t>
      </w:r>
      <w:r w:rsidRPr="008D6631">
        <w:rPr>
          <w:shd w:val="clear" w:color="auto" w:fill="FFFFFF"/>
        </w:rPr>
        <w:t>, </w:t>
      </w:r>
      <w:r w:rsidRPr="008D6631">
        <w:rPr>
          <w:i/>
          <w:iCs/>
          <w:shd w:val="clear" w:color="auto" w:fill="FFFFFF"/>
        </w:rPr>
        <w:t xml:space="preserve">Unhitching the Trailer Clause: The Rights of Inventive Employees and Their </w:t>
      </w:r>
      <w:r w:rsidRPr="00A90AF3">
        <w:rPr>
          <w:i/>
          <w:iCs/>
          <w:shd w:val="clear" w:color="auto" w:fill="FFFFFF"/>
        </w:rPr>
        <w:t>Employers</w:t>
      </w:r>
      <w:r w:rsidRPr="00A90AF3">
        <w:rPr>
          <w:shd w:val="clear" w:color="auto" w:fill="FFFFFF"/>
        </w:rPr>
        <w:t xml:space="preserve">, 3 </w:t>
      </w:r>
      <w:r w:rsidRPr="00A90AF3">
        <w:rPr>
          <w:smallCaps/>
          <w:shd w:val="clear" w:color="auto" w:fill="FFFFFF"/>
        </w:rPr>
        <w:t>J. Intell. Prop. L</w:t>
      </w:r>
      <w:r w:rsidRPr="00A90AF3">
        <w:rPr>
          <w:shd w:val="clear" w:color="auto" w:fill="FFFFFF"/>
        </w:rPr>
        <w:t>. 187, 197 (1995).</w:t>
      </w:r>
    </w:p>
  </w:footnote>
  <w:footnote w:id="98">
    <w:p w14:paraId="7B4EEB10" w14:textId="77777777" w:rsidR="00E81370" w:rsidRPr="00823CD9" w:rsidRDefault="00E81370" w:rsidP="00FA24DA">
      <w:pPr>
        <w:pStyle w:val="FootnoteText"/>
        <w:ind w:firstLine="0"/>
      </w:pPr>
      <w:r w:rsidRPr="00A90AF3">
        <w:rPr>
          <w:shd w:val="clear" w:color="auto" w:fill="FFFFFF"/>
          <w:vertAlign w:val="superscript"/>
        </w:rPr>
        <w:footnoteRef/>
      </w:r>
      <w:r w:rsidRPr="00A90AF3">
        <w:t xml:space="preserve"> </w:t>
      </w:r>
      <w:r w:rsidRPr="00B82538">
        <w:rPr>
          <w:i/>
        </w:rPr>
        <w:t>Id.</w:t>
      </w:r>
      <w:r w:rsidRPr="00A90AF3">
        <w:t xml:space="preserve"> at</w:t>
      </w:r>
      <w:r w:rsidRPr="00F42531">
        <w:rPr>
          <w:shd w:val="clear" w:color="auto" w:fill="FFFFFF"/>
        </w:rPr>
        <w:t xml:space="preserve"> 197.</w:t>
      </w:r>
    </w:p>
  </w:footnote>
  <w:footnote w:id="99">
    <w:p w14:paraId="1D9CCF6F" w14:textId="77777777" w:rsidR="00E81370" w:rsidRPr="00823CD9" w:rsidRDefault="00E81370" w:rsidP="00E54147">
      <w:pPr>
        <w:pStyle w:val="FootnoteText"/>
        <w:ind w:firstLine="0"/>
      </w:pPr>
      <w:r w:rsidRPr="00AB2860">
        <w:rPr>
          <w:vertAlign w:val="superscript"/>
        </w:rPr>
        <w:footnoteRef/>
      </w:r>
      <w:r w:rsidRPr="00AB2860">
        <w:t xml:space="preserve"> Robert P. Merges, </w:t>
      </w:r>
      <w:r w:rsidRPr="00AB2860">
        <w:rPr>
          <w:i/>
          <w:iCs/>
        </w:rPr>
        <w:t>The Law and Economics of Employee Inventions</w:t>
      </w:r>
      <w:r w:rsidRPr="00AB2860">
        <w:t xml:space="preserve">, 13 </w:t>
      </w:r>
      <w:r w:rsidRPr="00AB2860">
        <w:rPr>
          <w:smallCaps/>
        </w:rPr>
        <w:t>Harv. J.L. &amp; Tech.</w:t>
      </w:r>
      <w:r w:rsidRPr="00AB2860">
        <w:t xml:space="preserve"> 1 (Fall 1999).</w:t>
      </w:r>
    </w:p>
  </w:footnote>
  <w:footnote w:id="100">
    <w:p w14:paraId="23CE8A4D" w14:textId="77777777" w:rsidR="00E81370" w:rsidRDefault="00E81370" w:rsidP="003E682B">
      <w:pPr>
        <w:pStyle w:val="FootnoteText"/>
        <w:ind w:firstLine="0"/>
      </w:pPr>
      <w:r w:rsidRPr="00AB2860">
        <w:rPr>
          <w:rStyle w:val="FootnoteReference"/>
        </w:rPr>
        <w:footnoteRef/>
      </w:r>
      <w:r w:rsidRPr="00AB2860">
        <w:t xml:space="preserve"> </w:t>
      </w:r>
      <w:r w:rsidRPr="00AB2860">
        <w:rPr>
          <w:i/>
          <w:iCs/>
        </w:rPr>
        <w:t>See also</w:t>
      </w:r>
      <w:r w:rsidRPr="00AB2860">
        <w:t xml:space="preserve">, Michel R. Mattioli, </w:t>
      </w:r>
      <w:r w:rsidRPr="00AB2860">
        <w:rPr>
          <w:i/>
          <w:iCs/>
        </w:rPr>
        <w:t>The Impact of Open Source on Pre-Invention Assignment</w:t>
      </w:r>
      <w:r w:rsidRPr="00016B9E">
        <w:rPr>
          <w:i/>
          <w:iCs/>
        </w:rPr>
        <w:t xml:space="preserve"> Contracts</w:t>
      </w:r>
      <w:r w:rsidRPr="00016B9E">
        <w:t>, 9</w:t>
      </w:r>
      <w:r>
        <w:t xml:space="preserve"> </w:t>
      </w:r>
      <w:r w:rsidRPr="00016B9E">
        <w:rPr>
          <w:smallCaps/>
        </w:rPr>
        <w:t>U. Pa. J. Lab. &amp; Emp. L</w:t>
      </w:r>
      <w:r w:rsidRPr="00016B9E">
        <w:t>. 207 (2006).</w:t>
      </w:r>
      <w:r>
        <w:t xml:space="preserve"> </w:t>
      </w:r>
      <w:r w:rsidRPr="00016B9E">
        <w:t>(“</w:t>
      </w:r>
      <w:r w:rsidRPr="00016B9E">
        <w:rPr>
          <w:shd w:val="clear" w:color="auto" w:fill="FFFFFF"/>
        </w:rPr>
        <w:t>Unfortunately, pre-invention assignment agreements rendered these equitable solutions largely meaningless. And, rather than grappling with the troublesome implications of these forced agreements, courts of the early twentieth century generally followed a plain and simple path of enforcement.”)</w:t>
      </w:r>
    </w:p>
  </w:footnote>
  <w:footnote w:id="101">
    <w:p w14:paraId="459C6F8F" w14:textId="77777777" w:rsidR="00E81370" w:rsidRPr="003D302F" w:rsidRDefault="00E81370" w:rsidP="00C24430">
      <w:pPr>
        <w:pStyle w:val="FootnoteText"/>
        <w:ind w:firstLine="0"/>
      </w:pPr>
      <w:r w:rsidRPr="002879F4">
        <w:rPr>
          <w:rStyle w:val="FootnoteReference"/>
        </w:rPr>
        <w:footnoteRef/>
      </w:r>
      <w:r>
        <w:rPr>
          <w:iCs/>
          <w:color w:val="333333"/>
          <w:bdr w:val="none" w:sz="0" w:space="0" w:color="auto"/>
          <w:lang w:bidi="he-IL"/>
        </w:rPr>
        <w:t xml:space="preserve"> </w:t>
      </w:r>
      <w:r w:rsidRPr="00C24430">
        <w:rPr>
          <w:iCs/>
          <w:color w:val="333333"/>
          <w:bdr w:val="none" w:sz="0" w:space="0" w:color="auto"/>
          <w:lang w:bidi="he-IL"/>
        </w:rPr>
        <w:t>Milliken &amp; Co. v. Morin</w:t>
      </w:r>
      <w:r>
        <w:rPr>
          <w:iCs/>
          <w:color w:val="333333"/>
          <w:bdr w:val="none" w:sz="0" w:space="0" w:color="auto"/>
          <w:lang w:bidi="he-IL"/>
        </w:rPr>
        <w:t>, 399 S.C. 23 (S.C. 2012).</w:t>
      </w:r>
    </w:p>
  </w:footnote>
  <w:footnote w:id="102">
    <w:p w14:paraId="1D7094A6" w14:textId="77777777" w:rsidR="00E81370" w:rsidRDefault="00E81370" w:rsidP="00FA24DA">
      <w:pPr>
        <w:pStyle w:val="FootnoteText"/>
        <w:ind w:firstLine="0"/>
      </w:pPr>
      <w:r>
        <w:rPr>
          <w:rStyle w:val="FootnoteReference"/>
        </w:rPr>
        <w:footnoteRef/>
      </w:r>
      <w:r>
        <w:t xml:space="preserve"> </w:t>
      </w:r>
      <w:r w:rsidRPr="008D3943">
        <w:rPr>
          <w:i/>
          <w:iCs/>
        </w:rPr>
        <w:t>Id</w:t>
      </w:r>
      <w:r w:rsidRPr="007B5B3A">
        <w:rPr>
          <w:i/>
        </w:rPr>
        <w:t>.</w:t>
      </w:r>
    </w:p>
  </w:footnote>
  <w:footnote w:id="103">
    <w:p w14:paraId="030353AA" w14:textId="77777777" w:rsidR="00E81370" w:rsidRPr="00823CD9" w:rsidRDefault="00E81370" w:rsidP="00FA24DA">
      <w:pPr>
        <w:pStyle w:val="FootnoteText"/>
        <w:ind w:firstLine="0"/>
      </w:pPr>
      <w:r w:rsidRPr="00AB2860">
        <w:rPr>
          <w:shd w:val="clear" w:color="auto" w:fill="FFFFFF"/>
          <w:vertAlign w:val="superscript"/>
        </w:rPr>
        <w:footnoteRef/>
      </w:r>
      <w:r w:rsidRPr="00AB2860">
        <w:t xml:space="preserve"> </w:t>
      </w:r>
      <w:r w:rsidRPr="008D3943">
        <w:rPr>
          <w:i/>
        </w:rPr>
        <w:t>Id</w:t>
      </w:r>
      <w:r w:rsidRPr="00836CB4">
        <w:t>.</w:t>
      </w:r>
      <w:r w:rsidRPr="00AB2860">
        <w:t xml:space="preserve"> at</w:t>
      </w:r>
      <w:r w:rsidRPr="00AB2860">
        <w:rPr>
          <w:shd w:val="clear" w:color="auto" w:fill="FFFFFF"/>
        </w:rPr>
        <w:t xml:space="preserve"> 198-99.</w:t>
      </w:r>
    </w:p>
  </w:footnote>
  <w:footnote w:id="104">
    <w:p w14:paraId="31AD4C71" w14:textId="77777777" w:rsidR="00E81370" w:rsidRPr="0046066B" w:rsidRDefault="00E81370" w:rsidP="008F3B0A">
      <w:pPr>
        <w:pStyle w:val="FootnoteText"/>
        <w:ind w:firstLine="0"/>
      </w:pPr>
      <w:r w:rsidRPr="008F58BE">
        <w:rPr>
          <w:vertAlign w:val="superscript"/>
        </w:rPr>
        <w:footnoteRef/>
      </w:r>
      <w:r w:rsidRPr="00E01045">
        <w:rPr>
          <w:shd w:val="clear" w:color="auto" w:fill="FFFFFF"/>
        </w:rPr>
        <w:t xml:space="preserve">Franklin D. Ubell, </w:t>
      </w:r>
      <w:r w:rsidRPr="0046066B">
        <w:rPr>
          <w:i/>
          <w:iCs/>
          <w:shd w:val="clear" w:color="auto" w:fill="FFFFFF"/>
        </w:rPr>
        <w:t>Assignor Estoppel: A Wrong Turn from Lear</w:t>
      </w:r>
      <w:r w:rsidRPr="0046066B">
        <w:rPr>
          <w:shd w:val="clear" w:color="auto" w:fill="FFFFFF"/>
        </w:rPr>
        <w:t xml:space="preserve">, 71 </w:t>
      </w:r>
      <w:r w:rsidRPr="0046066B">
        <w:rPr>
          <w:smallCaps/>
          <w:shd w:val="clear" w:color="auto" w:fill="FFFFFF"/>
        </w:rPr>
        <w:t>J. Pat. &amp; Trademark Off. Soc'y</w:t>
      </w:r>
      <w:r>
        <w:rPr>
          <w:smallCaps/>
          <w:shd w:val="clear" w:color="auto" w:fill="FFFFFF"/>
        </w:rPr>
        <w:t xml:space="preserve"> </w:t>
      </w:r>
      <w:r w:rsidRPr="00E01045">
        <w:rPr>
          <w:shd w:val="clear" w:color="auto" w:fill="FFFFFF"/>
        </w:rPr>
        <w:t>26, 27 (1989).</w:t>
      </w:r>
    </w:p>
  </w:footnote>
  <w:footnote w:id="105">
    <w:p w14:paraId="605A60EB" w14:textId="77777777" w:rsidR="00E81370" w:rsidRPr="00523C46" w:rsidRDefault="00E81370" w:rsidP="00F5689E">
      <w:pPr>
        <w:pStyle w:val="FootnoteText"/>
        <w:ind w:firstLine="0"/>
      </w:pPr>
      <w:r w:rsidRPr="00D045DB">
        <w:rPr>
          <w:vertAlign w:val="superscript"/>
        </w:rPr>
        <w:footnoteRef/>
      </w:r>
      <w:r w:rsidRPr="00D045DB">
        <w:t xml:space="preserve"> Pandrol USA, LP v.</w:t>
      </w:r>
      <w:r w:rsidRPr="001D7A35">
        <w:t xml:space="preserve"> Airboss Ry. Prods., Inc., 424 F.3d 1161, </w:t>
      </w:r>
      <w:r>
        <w:t xml:space="preserve">1166-67 </w:t>
      </w:r>
      <w:r w:rsidRPr="001D7A35">
        <w:t>(Fed. Cir. 2005).</w:t>
      </w:r>
    </w:p>
  </w:footnote>
  <w:footnote w:id="106">
    <w:p w14:paraId="06450E5C" w14:textId="77777777" w:rsidR="00E81370" w:rsidRPr="00D045DB" w:rsidRDefault="00E81370" w:rsidP="00F5689E">
      <w:pPr>
        <w:pStyle w:val="FootnoteText"/>
        <w:ind w:firstLine="0"/>
      </w:pPr>
      <w:r w:rsidRPr="00D045DB">
        <w:rPr>
          <w:vertAlign w:val="superscript"/>
        </w:rPr>
        <w:footnoteRef/>
      </w:r>
      <w:r w:rsidRPr="00D045DB">
        <w:t xml:space="preserve"> Mentor Graphics Corp. v. Quickturn Design Sys., 150 F.3d 1374, 1379-1380 (Fed. Cir. 1998).</w:t>
      </w:r>
    </w:p>
  </w:footnote>
  <w:footnote w:id="107">
    <w:p w14:paraId="2244A3FC" w14:textId="77777777" w:rsidR="00E81370" w:rsidRPr="00FB1A33" w:rsidRDefault="00E81370" w:rsidP="00956FBB">
      <w:pPr>
        <w:pStyle w:val="FootnoteText"/>
        <w:ind w:firstLine="0"/>
      </w:pPr>
      <w:r w:rsidRPr="00D045DB">
        <w:rPr>
          <w:vertAlign w:val="superscript"/>
        </w:rPr>
        <w:footnoteRef/>
      </w:r>
      <w:r w:rsidRPr="00D045DB">
        <w:t xml:space="preserve"> </w:t>
      </w:r>
      <w:r>
        <w:t xml:space="preserve">Q.G. Prods., Inc. v. Shorty, Inc. 992 F.2d 1211, </w:t>
      </w:r>
      <w:r w:rsidRPr="001D7A35">
        <w:t>1213</w:t>
      </w:r>
      <w:r>
        <w:t xml:space="preserve"> (Fed. Cir. 1993) </w:t>
      </w:r>
      <w:r w:rsidRPr="00FB1A33">
        <w:rPr>
          <w:color w:val="494949"/>
          <w:u w:color="494949"/>
        </w:rPr>
        <w:t>(</w:t>
      </w:r>
      <w:r w:rsidRPr="00EE09BC">
        <w:t>“</w:t>
      </w:r>
      <w:r w:rsidRPr="00D045DB">
        <w:t xml:space="preserve">When the bounds of future patent claims are uncertain, the courts have recognized the need for </w:t>
      </w:r>
      <w:r w:rsidRPr="00EE09BC">
        <w:t>“</w:t>
      </w:r>
      <w:r w:rsidRPr="00D045DB">
        <w:t>ample evidence to define the assignor's representations</w:t>
      </w:r>
      <w:r w:rsidRPr="00EE09BC">
        <w:t>”</w:t>
      </w:r>
      <w:r w:rsidRPr="00D045DB">
        <w:t>)</w:t>
      </w:r>
      <w:r>
        <w:t xml:space="preserve">. </w:t>
      </w:r>
    </w:p>
  </w:footnote>
  <w:footnote w:id="108">
    <w:p w14:paraId="3E53B5BE" w14:textId="77777777" w:rsidR="00E81370" w:rsidRPr="000C3BEE" w:rsidRDefault="00E81370" w:rsidP="0080243B">
      <w:pPr>
        <w:pStyle w:val="FootnoteText"/>
        <w:ind w:firstLine="0"/>
      </w:pPr>
      <w:r w:rsidRPr="000C3BEE">
        <w:rPr>
          <w:vertAlign w:val="superscript"/>
        </w:rPr>
        <w:footnoteRef/>
      </w:r>
      <w:r w:rsidRPr="000C3BEE">
        <w:t xml:space="preserve"> 35 U.S.C. 2</w:t>
      </w:r>
      <w:r w:rsidRPr="001D35B4">
        <w:t>282(b)(2),(3) (invalidity defenses).</w:t>
      </w:r>
      <w:r>
        <w:t xml:space="preserve"> </w:t>
      </w:r>
      <w:r w:rsidRPr="001D35B4">
        <w:t>Preston v. Marathon Oil Company</w:t>
      </w:r>
      <w:r w:rsidRPr="00E658F8">
        <w:rPr>
          <w:i/>
          <w:iCs/>
          <w:color w:val="282828"/>
          <w:u w:color="282828"/>
        </w:rPr>
        <w:t>,</w:t>
      </w:r>
      <w:r w:rsidRPr="00E658F8">
        <w:rPr>
          <w:color w:val="282828"/>
          <w:u w:color="282828"/>
        </w:rPr>
        <w:t xml:space="preserve"> 684 F.3d 1276 (Fed. Cir. 2012); </w:t>
      </w:r>
      <w:r w:rsidRPr="00E658F8">
        <w:t>Bilski v. Kappos, 130 S.Ct. 3218, 3229 (2010); eBay Inc. v. MercExchange, L</w:t>
      </w:r>
      <w:r w:rsidRPr="00375C2E">
        <w:t>.L.C</w:t>
      </w:r>
      <w:r w:rsidRPr="00375C2E">
        <w:rPr>
          <w:i/>
          <w:iCs/>
        </w:rPr>
        <w:t>.</w:t>
      </w:r>
      <w:r w:rsidRPr="00375C2E">
        <w:t>, 547 U.S. 388 (2006).</w:t>
      </w:r>
    </w:p>
  </w:footnote>
  <w:footnote w:id="109">
    <w:p w14:paraId="2C700088" w14:textId="77777777" w:rsidR="00E81370" w:rsidRPr="00375C2E" w:rsidRDefault="00E81370" w:rsidP="00375C2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rPr>
          <w:color w:val="auto"/>
          <w:bdr w:val="none" w:sz="0" w:space="0" w:color="auto"/>
        </w:rPr>
      </w:pPr>
      <w:r w:rsidRPr="00375C2E">
        <w:rPr>
          <w:rStyle w:val="FootnoteReference"/>
          <w:rFonts w:hAnsi="Times New Roman" w:cs="Times New Roman"/>
          <w:sz w:val="20"/>
          <w:szCs w:val="20"/>
        </w:rPr>
        <w:footnoteRef/>
      </w:r>
      <w:r w:rsidRPr="00375C2E">
        <w:rPr>
          <w:rFonts w:hAnsi="Times New Roman" w:cs="Times New Roman"/>
          <w:sz w:val="20"/>
          <w:szCs w:val="20"/>
        </w:rPr>
        <w:t xml:space="preserve"> </w:t>
      </w:r>
      <w:r w:rsidRPr="00375C2E">
        <w:rPr>
          <w:rFonts w:hAnsi="Times New Roman" w:cs="Times New Roman"/>
          <w:i/>
          <w:iCs/>
          <w:sz w:val="20"/>
          <w:szCs w:val="20"/>
        </w:rPr>
        <w:t>See e.g.,</w:t>
      </w:r>
      <w:r w:rsidRPr="00375C2E">
        <w:rPr>
          <w:rFonts w:hAnsi="Times New Roman" w:cs="Times New Roman"/>
          <w:sz w:val="20"/>
          <w:szCs w:val="20"/>
        </w:rPr>
        <w:t xml:space="preserve"> </w:t>
      </w:r>
      <w:r w:rsidRPr="00CE27BB">
        <w:rPr>
          <w:rFonts w:eastAsia="Times New Roman" w:hAnsi="Times New Roman" w:cs="Times New Roman"/>
          <w:color w:val="auto"/>
          <w:sz w:val="20"/>
          <w:szCs w:val="20"/>
          <w:bdr w:val="none" w:sz="0" w:space="0" w:color="auto"/>
        </w:rPr>
        <w:t>Juniper Networks, Inc. v. Palo Alto Networks, Inc.</w:t>
      </w:r>
      <w:r w:rsidRPr="00375C2E">
        <w:rPr>
          <w:rFonts w:eastAsia="Times New Roman" w:hAnsi="Times New Roman" w:cs="Times New Roman"/>
          <w:color w:val="auto"/>
          <w:sz w:val="20"/>
          <w:szCs w:val="20"/>
          <w:bdr w:val="none" w:sz="0" w:space="0" w:color="auto"/>
        </w:rPr>
        <w:t xml:space="preserve">, CV 11-1258-SLR, 2014 WL 527621 (D. Del. Feb. 6, 2014). </w:t>
      </w:r>
    </w:p>
  </w:footnote>
  <w:footnote w:id="110">
    <w:p w14:paraId="5FD13852" w14:textId="77777777" w:rsidR="00E81370" w:rsidRPr="00375C2E" w:rsidRDefault="00E81370">
      <w:pPr>
        <w:pStyle w:val="FootnoteText"/>
        <w:ind w:firstLine="0"/>
        <w:rPr>
          <w:color w:val="auto"/>
        </w:rPr>
      </w:pPr>
      <w:r w:rsidRPr="00375C2E">
        <w:rPr>
          <w:rStyle w:val="FootnoteReference"/>
          <w:color w:val="auto"/>
        </w:rPr>
        <w:footnoteRef/>
      </w:r>
      <w:r w:rsidRPr="000C3BEE">
        <w:rPr>
          <w:color w:val="auto"/>
        </w:rPr>
        <w:t xml:space="preserve"> </w:t>
      </w:r>
      <w:r w:rsidRPr="001D35B4">
        <w:rPr>
          <w:color w:val="auto"/>
        </w:rPr>
        <w:t>There may well be gender and age impact. Women are still more likely than men to be geographically constrained by dual career coordination. Restrictions over their job mobility may create a disincentive to move jobs altogether. Similarly, older employees are likely to have more job experience, w</w:t>
      </w:r>
      <w:r w:rsidRPr="00E658F8">
        <w:rPr>
          <w:color w:val="auto"/>
        </w:rPr>
        <w:t xml:space="preserve">hich perversely, under the new cognitive property, creates a further penalty on their employment, in a labor market that is already prone to age discrimination. </w:t>
      </w:r>
      <w:r w:rsidRPr="00E658F8">
        <w:rPr>
          <w:i/>
          <w:iCs/>
          <w:color w:val="auto"/>
        </w:rPr>
        <w:t>See, e.g.,</w:t>
      </w:r>
      <w:r w:rsidRPr="00375C2E">
        <w:rPr>
          <w:rStyle w:val="f"/>
          <w:i/>
          <w:iCs/>
          <w:color w:val="auto"/>
          <w:shd w:val="clear" w:color="auto" w:fill="FFFFFF"/>
        </w:rPr>
        <w:t>–</w:t>
      </w:r>
      <w:r w:rsidRPr="00375C2E">
        <w:rPr>
          <w:rStyle w:val="apple-converted-space"/>
          <w:color w:val="auto"/>
          <w:shd w:val="clear" w:color="auto" w:fill="FFFFFF"/>
        </w:rPr>
        <w:t xml:space="preserve"> Noam Scheiber, </w:t>
      </w:r>
      <w:r w:rsidRPr="00375C2E">
        <w:rPr>
          <w:rStyle w:val="Emphasis"/>
          <w:bCs/>
          <w:iCs w:val="0"/>
          <w:color w:val="auto"/>
          <w:shd w:val="clear" w:color="auto" w:fill="FFFFFF"/>
        </w:rPr>
        <w:t>The Brutal Ageism of Tech</w:t>
      </w:r>
      <w:r w:rsidRPr="00375C2E">
        <w:rPr>
          <w:rStyle w:val="Emphasis"/>
          <w:bCs/>
          <w:i w:val="0"/>
          <w:iCs w:val="0"/>
          <w:color w:val="auto"/>
          <w:shd w:val="clear" w:color="auto" w:fill="FFFFFF"/>
        </w:rPr>
        <w:t>, New Republic</w:t>
      </w:r>
      <w:r w:rsidRPr="000C3BEE">
        <w:rPr>
          <w:color w:val="auto"/>
        </w:rPr>
        <w:t xml:space="preserve">, </w:t>
      </w:r>
      <w:r w:rsidRPr="00375C2E">
        <w:rPr>
          <w:rStyle w:val="f"/>
          <w:color w:val="auto"/>
          <w:shd w:val="clear" w:color="auto" w:fill="FFFFFF"/>
        </w:rPr>
        <w:t>Mar</w:t>
      </w:r>
      <w:r>
        <w:rPr>
          <w:rStyle w:val="f"/>
          <w:color w:val="auto"/>
          <w:shd w:val="clear" w:color="auto" w:fill="FFFFFF"/>
        </w:rPr>
        <w:t>.</w:t>
      </w:r>
      <w:r w:rsidRPr="00375C2E">
        <w:rPr>
          <w:rStyle w:val="f"/>
          <w:color w:val="auto"/>
          <w:shd w:val="clear" w:color="auto" w:fill="FFFFFF"/>
        </w:rPr>
        <w:t xml:space="preserve"> 23, 2014.</w:t>
      </w:r>
    </w:p>
  </w:footnote>
  <w:footnote w:id="111">
    <w:p w14:paraId="786A9699" w14:textId="77777777" w:rsidR="00E81370" w:rsidRPr="00A707BD" w:rsidRDefault="00E81370">
      <w:pPr>
        <w:pStyle w:val="FootnoteText"/>
        <w:ind w:firstLine="0"/>
      </w:pPr>
      <w:r w:rsidRPr="00A707BD">
        <w:rPr>
          <w:vertAlign w:val="superscript"/>
        </w:rPr>
        <w:footnoteRef/>
      </w:r>
      <w:r>
        <w:rPr>
          <w:rFonts w:eastAsia="Times"/>
        </w:rPr>
        <w:t xml:space="preserve"> </w:t>
      </w:r>
      <w:r w:rsidRPr="00E76FCE">
        <w:rPr>
          <w:rFonts w:eastAsia="Times"/>
        </w:rPr>
        <w:t>Mattel, Inc. v. MGA Entm't, Inc., 616 F.3d 904, 913 n.7 (9th Cir. 2010).</w:t>
      </w:r>
    </w:p>
  </w:footnote>
  <w:footnote w:id="112">
    <w:p w14:paraId="2C20729B" w14:textId="77777777" w:rsidR="00E81370" w:rsidRDefault="00E81370" w:rsidP="009233E2">
      <w:pPr>
        <w:pStyle w:val="FootnoteText"/>
        <w:ind w:firstLine="0"/>
      </w:pPr>
      <w:r>
        <w:rPr>
          <w:rStyle w:val="FootnoteReference"/>
        </w:rPr>
        <w:footnoteRef/>
      </w:r>
      <w:r>
        <w:t xml:space="preserve"> </w:t>
      </w:r>
      <w:r w:rsidRPr="00A707BD">
        <w:t>Donald J</w:t>
      </w:r>
      <w:r>
        <w:t xml:space="preserve">. </w:t>
      </w:r>
      <w:r w:rsidRPr="00A707BD">
        <w:t xml:space="preserve">Ying, </w:t>
      </w:r>
      <w:r w:rsidRPr="00A707BD">
        <w:rPr>
          <w:i/>
        </w:rPr>
        <w:t>A Comparative Study of the Treatment of Employee Inventions, Pre-Invention Assignment Agreements, and Software Rights</w:t>
      </w:r>
      <w:r w:rsidRPr="00A707BD">
        <w:t xml:space="preserve">, 10 </w:t>
      </w:r>
      <w:r w:rsidRPr="00A707BD">
        <w:rPr>
          <w:smallCaps/>
        </w:rPr>
        <w:t>U.  Pa.  J.  Bus.  &amp; Emp.  L</w:t>
      </w:r>
      <w:r w:rsidRPr="00A707BD">
        <w:t>. 763 (2008).</w:t>
      </w:r>
    </w:p>
  </w:footnote>
  <w:footnote w:id="113">
    <w:p w14:paraId="73D96412" w14:textId="77777777" w:rsidR="00E81370" w:rsidRPr="00016B9E" w:rsidRDefault="00E81370" w:rsidP="00E07D54">
      <w:pPr>
        <w:pStyle w:val="FootnoteText"/>
        <w:ind w:firstLine="0"/>
      </w:pPr>
      <w:r w:rsidRPr="008F5A91">
        <w:rPr>
          <w:vertAlign w:val="superscript"/>
        </w:rPr>
        <w:footnoteRef/>
      </w:r>
      <w:r>
        <w:t xml:space="preserve"> </w:t>
      </w:r>
      <w:r w:rsidRPr="009071B5">
        <w:t>Cubic Corp v. Marty</w:t>
      </w:r>
      <w:r w:rsidRPr="009071B5">
        <w:rPr>
          <w:i/>
          <w:iCs/>
        </w:rPr>
        <w:t>,</w:t>
      </w:r>
      <w:r w:rsidRPr="009071B5">
        <w:t xml:space="preserve"> 229 Cal. Rptr. 438 (Cal.Ct.App.1986);</w:t>
      </w:r>
      <w:r w:rsidRPr="008F5A91">
        <w:t xml:space="preserve"> Cadence Design Sys., Inc. v. Bhandari, 2007 WL 3343085 (N.D.Cal.2007)</w:t>
      </w:r>
      <w:r>
        <w:t xml:space="preserve"> </w:t>
      </w:r>
      <w:r w:rsidRPr="008F5A91">
        <w:t xml:space="preserve">(holding that under </w:t>
      </w:r>
      <w:r w:rsidRPr="008F5A91">
        <w:rPr>
          <w:iCs/>
        </w:rPr>
        <w:t>Cal. Labor Code § 2870</w:t>
      </w:r>
      <w:r w:rsidRPr="008F5A91">
        <w:t>, inventions that are “related to” an employer’s business interest are not limited to the smallest business division in which the employee actually works; inventions within the general scope of the employer’s business may be pre-assigned).</w:t>
      </w:r>
      <w:r>
        <w:t xml:space="preserve"> </w:t>
      </w:r>
    </w:p>
  </w:footnote>
  <w:footnote w:id="114">
    <w:p w14:paraId="75E0F67B" w14:textId="77777777" w:rsidR="00E81370" w:rsidRDefault="00E81370" w:rsidP="00E07D54">
      <w:pPr>
        <w:pStyle w:val="FootnoteText"/>
        <w:ind w:firstLine="0"/>
      </w:pPr>
      <w:r>
        <w:rPr>
          <w:rStyle w:val="FootnoteReference"/>
        </w:rPr>
        <w:footnoteRef/>
      </w:r>
      <w:r>
        <w:t xml:space="preserve"> Email exchange, Google hire, on file with author.</w:t>
      </w:r>
    </w:p>
  </w:footnote>
  <w:footnote w:id="115">
    <w:p w14:paraId="525CB4E8" w14:textId="77777777" w:rsidR="00E81370" w:rsidRPr="00E76FCE" w:rsidRDefault="00E81370" w:rsidP="008F3B78">
      <w:pPr>
        <w:ind w:firstLine="0"/>
        <w:rPr>
          <w:rFonts w:hAnsi="Times New Roman" w:cs="Times New Roman"/>
          <w:sz w:val="20"/>
          <w:szCs w:val="20"/>
        </w:rPr>
      </w:pPr>
      <w:r w:rsidRPr="00E76FCE">
        <w:rPr>
          <w:rFonts w:hAnsi="Times New Roman" w:cs="Times New Roman"/>
          <w:sz w:val="20"/>
          <w:szCs w:val="20"/>
          <w:vertAlign w:val="superscript"/>
        </w:rPr>
        <w:footnoteRef/>
      </w:r>
      <w:r>
        <w:rPr>
          <w:rFonts w:hAnsi="Times New Roman" w:cs="Times New Roman"/>
          <w:sz w:val="20"/>
          <w:szCs w:val="20"/>
        </w:rPr>
        <w:t xml:space="preserve"> </w:t>
      </w:r>
      <w:r w:rsidRPr="00E76FCE">
        <w:rPr>
          <w:rFonts w:hAnsi="Times New Roman" w:cs="Times New Roman"/>
          <w:sz w:val="20"/>
          <w:szCs w:val="20"/>
        </w:rPr>
        <w:t xml:space="preserve">Teets v. Chromalloy Gas Turbine Corp., 83 F.3d 403, 408, 408 </w:t>
      </w:r>
      <w:r>
        <w:rPr>
          <w:rFonts w:hAnsi="Times New Roman" w:cs="Times New Roman"/>
          <w:sz w:val="20"/>
          <w:szCs w:val="20"/>
        </w:rPr>
        <w:t xml:space="preserve">(1996). </w:t>
      </w:r>
    </w:p>
  </w:footnote>
  <w:footnote w:id="116">
    <w:p w14:paraId="49951B98" w14:textId="77777777" w:rsidR="00E81370" w:rsidRPr="00436C6C" w:rsidRDefault="00E81370" w:rsidP="00CF34B2">
      <w:pPr>
        <w:ind w:firstLine="0"/>
      </w:pPr>
      <w:r w:rsidRPr="00E76FCE">
        <w:rPr>
          <w:rStyle w:val="FootnoteReference"/>
          <w:rFonts w:hAnsi="Times New Roman" w:cs="Times New Roman"/>
          <w:sz w:val="20"/>
          <w:szCs w:val="20"/>
        </w:rPr>
        <w:footnoteRef/>
      </w:r>
      <w:r>
        <w:rPr>
          <w:rFonts w:hAnsi="Times New Roman" w:cs="Times New Roman"/>
          <w:sz w:val="20"/>
          <w:szCs w:val="20"/>
        </w:rPr>
        <w:t xml:space="preserve"> </w:t>
      </w:r>
      <w:r w:rsidRPr="00E76FCE">
        <w:rPr>
          <w:rFonts w:hAnsi="Times New Roman" w:cs="Times New Roman"/>
          <w:sz w:val="20"/>
          <w:szCs w:val="20"/>
        </w:rPr>
        <w:t xml:space="preserve">Google contract. </w:t>
      </w:r>
      <w:r w:rsidRPr="00E76FCE">
        <w:rPr>
          <w:rFonts w:hAnsi="Times New Roman" w:cs="Times New Roman"/>
          <w:color w:val="auto"/>
          <w:sz w:val="20"/>
          <w:szCs w:val="20"/>
        </w:rPr>
        <w:t xml:space="preserve">Ironically, the expansion of time exists in tension with the efforts made to draw the lines between work hour and off time. Employment laws militantly police the lines between on the job and off the job hours for the purposes of wage and hour. In this past term, the Supreme Court spent hours deciding a case concerning whether donning and doffing work gear is time worked or uncompensable arrival time to the workplace. </w:t>
      </w:r>
      <w:r w:rsidRPr="009342B8">
        <w:rPr>
          <w:rFonts w:hAnsi="Times New Roman" w:cs="Times New Roman"/>
          <w:i/>
          <w:color w:val="auto"/>
          <w:sz w:val="20"/>
          <w:szCs w:val="20"/>
        </w:rPr>
        <w:t>See</w:t>
      </w:r>
      <w:r w:rsidRPr="00E76FCE">
        <w:rPr>
          <w:rFonts w:hAnsi="Times New Roman" w:cs="Times New Roman"/>
          <w:color w:val="auto"/>
          <w:sz w:val="20"/>
          <w:szCs w:val="20"/>
        </w:rPr>
        <w:t xml:space="preserve"> </w:t>
      </w:r>
      <w:r>
        <w:rPr>
          <w:rFonts w:hAnsi="Times New Roman" w:cs="Times New Roman"/>
          <w:color w:val="auto"/>
          <w:sz w:val="20"/>
          <w:szCs w:val="20"/>
        </w:rPr>
        <w:t>Sandifer v. U.S. Steel Corp., 134 S. Ct. 870 (2014). A</w:t>
      </w:r>
      <w:r w:rsidRPr="00E76FCE">
        <w:rPr>
          <w:rFonts w:hAnsi="Times New Roman" w:cs="Times New Roman"/>
          <w:color w:val="auto"/>
          <w:sz w:val="20"/>
          <w:szCs w:val="20"/>
        </w:rPr>
        <w:t>nd yet</w:t>
      </w:r>
      <w:r>
        <w:rPr>
          <w:rFonts w:hAnsi="Times New Roman" w:cs="Times New Roman"/>
          <w:color w:val="auto"/>
          <w:sz w:val="20"/>
          <w:szCs w:val="20"/>
        </w:rPr>
        <w:t>,</w:t>
      </w:r>
      <w:r w:rsidRPr="00E76FCE">
        <w:rPr>
          <w:rFonts w:hAnsi="Times New Roman" w:cs="Times New Roman"/>
          <w:color w:val="auto"/>
          <w:sz w:val="20"/>
          <w:szCs w:val="20"/>
        </w:rPr>
        <w:t xml:space="preserve"> with regard to fruits of an employee’s labor, courts have increasingly rejected the distinction between on the job and off the job efforts.</w:t>
      </w:r>
    </w:p>
  </w:footnote>
  <w:footnote w:id="117">
    <w:p w14:paraId="785084F6" w14:textId="77777777" w:rsidR="00E81370" w:rsidRPr="00016B9E" w:rsidRDefault="00E81370" w:rsidP="00E76FCE">
      <w:pPr>
        <w:widowControl/>
        <w:ind w:firstLine="0"/>
        <w:rPr>
          <w:sz w:val="20"/>
          <w:szCs w:val="20"/>
        </w:rPr>
      </w:pPr>
      <w:r w:rsidRPr="00E76FCE">
        <w:rPr>
          <w:rFonts w:hAnsi="Times New Roman" w:cs="Times New Roman"/>
          <w:sz w:val="20"/>
          <w:szCs w:val="20"/>
          <w:vertAlign w:val="superscript"/>
        </w:rPr>
        <w:footnoteRef/>
      </w:r>
      <w:r>
        <w:rPr>
          <w:rFonts w:eastAsia="Times" w:hAnsi="Times New Roman" w:cs="Times New Roman"/>
          <w:sz w:val="20"/>
          <w:szCs w:val="20"/>
        </w:rPr>
        <w:t xml:space="preserve"> </w:t>
      </w:r>
      <w:r w:rsidRPr="00E76FCE">
        <w:rPr>
          <w:rFonts w:eastAsia="Times" w:hAnsi="Times New Roman" w:cs="Times New Roman"/>
          <w:sz w:val="20"/>
          <w:szCs w:val="20"/>
        </w:rPr>
        <w:t>United States v. Dubilier Condenser Corp., 289 U.S. 178, 188 (1933).</w:t>
      </w:r>
    </w:p>
  </w:footnote>
  <w:footnote w:id="118">
    <w:p w14:paraId="4409BD0A" w14:textId="77777777" w:rsidR="00E81370" w:rsidRPr="001477D5" w:rsidRDefault="00E81370">
      <w:pPr>
        <w:ind w:firstLine="0"/>
        <w:rPr>
          <w:rFonts w:hAnsi="Times New Roman" w:cs="Times New Roman"/>
          <w:sz w:val="20"/>
          <w:szCs w:val="20"/>
        </w:rPr>
      </w:pPr>
      <w:r w:rsidRPr="00335427">
        <w:rPr>
          <w:rFonts w:hAnsi="Times New Roman" w:cs="Times New Roman"/>
          <w:sz w:val="20"/>
          <w:szCs w:val="20"/>
          <w:vertAlign w:val="superscript"/>
        </w:rPr>
        <w:footnoteRef/>
      </w:r>
      <w:r>
        <w:rPr>
          <w:rFonts w:hAnsi="Times New Roman" w:cs="Times New Roman"/>
          <w:sz w:val="20"/>
          <w:szCs w:val="20"/>
        </w:rPr>
        <w:t xml:space="preserve"> </w:t>
      </w:r>
      <w:r w:rsidRPr="009071B5">
        <w:rPr>
          <w:rFonts w:hAnsi="Times New Roman" w:cs="Times New Roman"/>
          <w:sz w:val="20"/>
          <w:szCs w:val="20"/>
        </w:rPr>
        <w:t>Dickman v. Vollmer, 736 N.W.2d 202 (Wis. Ct. App. 2007)</w:t>
      </w:r>
      <w:r w:rsidRPr="00ED77D7">
        <w:rPr>
          <w:rFonts w:hAnsi="Times New Roman" w:cs="Times New Roman"/>
          <w:sz w:val="20"/>
          <w:szCs w:val="20"/>
        </w:rPr>
        <w:t xml:space="preserve"> (holding that agreements to assign do not need to be in writing; upon sufficient proof, oral pre-assignments may be upheld); Larson v. Correct Craft, Inc., 537 F. Supp. 2d 1264 (M.D. Fla. 2008).</w:t>
      </w:r>
    </w:p>
  </w:footnote>
  <w:footnote w:id="119">
    <w:p w14:paraId="44A60339" w14:textId="77777777" w:rsidR="00E81370" w:rsidRPr="00016B9E" w:rsidRDefault="00E81370" w:rsidP="007D5E28">
      <w:pPr>
        <w:pStyle w:val="FootnoteText"/>
        <w:ind w:firstLine="0"/>
      </w:pPr>
      <w:r w:rsidRPr="00AB2860">
        <w:rPr>
          <w:vertAlign w:val="superscript"/>
        </w:rPr>
        <w:footnoteRef/>
      </w:r>
      <w:r>
        <w:t xml:space="preserve"> Non-competes </w:t>
      </w:r>
      <w:r w:rsidRPr="00EE09BC">
        <w:t>exist in almost 80% of chief executive contracts</w:t>
      </w:r>
      <w:r w:rsidRPr="00AB2860">
        <w:t xml:space="preserve"> </w:t>
      </w:r>
      <w:r>
        <w:t xml:space="preserve">and over 70% of senior executive contracts. </w:t>
      </w:r>
      <w:r w:rsidRPr="00AB2860">
        <w:t xml:space="preserve">Norman Bishara, Kenneth J. Martin, &amp; Randall S. Thomas, </w:t>
      </w:r>
      <w:r w:rsidRPr="00AB2860">
        <w:rPr>
          <w:i/>
          <w:iCs/>
        </w:rPr>
        <w:t xml:space="preserve">When Do CEOs Have Covenants Not to Compete in Their Employment Contracts? </w:t>
      </w:r>
      <w:r w:rsidRPr="00AB2860">
        <w:t>(</w:t>
      </w:r>
      <w:r>
        <w:rPr>
          <w:smallCaps/>
        </w:rPr>
        <w:t>Vand. L. &amp; Econ.,</w:t>
      </w:r>
      <w:r>
        <w:t xml:space="preserve"> </w:t>
      </w:r>
      <w:r w:rsidRPr="00AB2860">
        <w:t xml:space="preserve">Working Paper No. 12-33, 2013), </w:t>
      </w:r>
      <w:r w:rsidRPr="00AB2860">
        <w:rPr>
          <w:i/>
        </w:rPr>
        <w:t>available at</w:t>
      </w:r>
      <w:r w:rsidRPr="00AB2860">
        <w:t xml:space="preserve"> SSRN: http://ssrn.com/abstract=2166020.</w:t>
      </w:r>
      <w:r w:rsidRPr="007D5E28">
        <w:t xml:space="preserve"> </w:t>
      </w:r>
      <w:r w:rsidRPr="00E13C6A">
        <w:t xml:space="preserve">Mark J. Garmaise, </w:t>
      </w:r>
      <w:r w:rsidRPr="00E13C6A">
        <w:rPr>
          <w:i/>
          <w:iCs/>
        </w:rPr>
        <w:t>Ties that Truly Bind: Non-competition,</w:t>
      </w:r>
      <w:r>
        <w:rPr>
          <w:i/>
          <w:iCs/>
        </w:rPr>
        <w:t xml:space="preserve"> </w:t>
      </w:r>
      <w:r w:rsidRPr="00E13C6A">
        <w:rPr>
          <w:i/>
          <w:iCs/>
        </w:rPr>
        <w:t>Agreements, Executive Compensation and Firm Investment</w:t>
      </w:r>
      <w:r w:rsidRPr="00CF18D9">
        <w:t xml:space="preserve">, 27. 2 </w:t>
      </w:r>
      <w:r w:rsidRPr="00CF18D9">
        <w:rPr>
          <w:smallCaps/>
        </w:rPr>
        <w:t>J. L. Econ. &amp; Org</w:t>
      </w:r>
      <w:r w:rsidRPr="00DB3590">
        <w:t>. 376, 376 (2011).</w:t>
      </w:r>
      <w:r>
        <w:t xml:space="preserve"> </w:t>
      </w:r>
    </w:p>
  </w:footnote>
  <w:footnote w:id="120">
    <w:p w14:paraId="2FD66C56" w14:textId="77777777" w:rsidR="00E81370" w:rsidRPr="00DB3590" w:rsidRDefault="00E81370" w:rsidP="00E13C6A">
      <w:pPr>
        <w:pStyle w:val="FootnoteText"/>
        <w:ind w:firstLine="0"/>
      </w:pPr>
      <w:r w:rsidRPr="00E13C6A">
        <w:rPr>
          <w:vertAlign w:val="superscript"/>
        </w:rPr>
        <w:footnoteRef/>
      </w:r>
      <w:r w:rsidRPr="00E13C6A">
        <w:rPr>
          <w:lang w:val="de-DE"/>
        </w:rPr>
        <w:t xml:space="preserve"> Matt Marx, </w:t>
      </w:r>
      <w:r w:rsidRPr="00E13C6A">
        <w:rPr>
          <w:i/>
          <w:iCs/>
          <w:lang w:val="de-DE"/>
        </w:rPr>
        <w:t>The Firm Strikes Back: Non-compete Agreements and the Mobility of Technical Professionals</w:t>
      </w:r>
      <w:r w:rsidRPr="00CF18D9">
        <w:rPr>
          <w:lang w:val="de-DE"/>
        </w:rPr>
        <w:t xml:space="preserve">, 76 </w:t>
      </w:r>
      <w:r w:rsidRPr="00CF18D9">
        <w:rPr>
          <w:smallCaps/>
          <w:lang w:val="de-DE"/>
        </w:rPr>
        <w:t>Am. Soc. Rev</w:t>
      </w:r>
      <w:r w:rsidRPr="00CF18D9">
        <w:rPr>
          <w:lang w:val="de-DE"/>
        </w:rPr>
        <w:t xml:space="preserve">. 695, 695 (2011). </w:t>
      </w:r>
    </w:p>
  </w:footnote>
  <w:footnote w:id="121">
    <w:p w14:paraId="5006F5C9" w14:textId="77777777" w:rsidR="00E81370" w:rsidRDefault="00E81370" w:rsidP="00D7190C">
      <w:pPr>
        <w:pStyle w:val="FootnoteText"/>
        <w:ind w:firstLine="0"/>
      </w:pPr>
      <w:r>
        <w:rPr>
          <w:rStyle w:val="FootnoteReference"/>
        </w:rPr>
        <w:footnoteRef/>
      </w:r>
      <w:r>
        <w:t xml:space="preserve"> </w:t>
      </w:r>
      <w:r w:rsidRPr="00E13C6A">
        <w:t xml:space="preserve">Steven Greenhouse, </w:t>
      </w:r>
      <w:r w:rsidRPr="00340EE9">
        <w:rPr>
          <w:i/>
          <w:iCs/>
        </w:rPr>
        <w:t>Noncompete Clauses Increasingly Pop Up in Array of Jobs</w:t>
      </w:r>
      <w:r w:rsidRPr="00E13C6A">
        <w:rPr>
          <w:i/>
          <w:iCs/>
          <w:smallCaps/>
        </w:rPr>
        <w:t>,</w:t>
      </w:r>
      <w:r w:rsidRPr="00E13C6A">
        <w:rPr>
          <w:iCs/>
          <w:smallCaps/>
        </w:rPr>
        <w:t xml:space="preserve"> N.Y. times. </w:t>
      </w:r>
      <w:r w:rsidRPr="009342B8">
        <w:rPr>
          <w:iCs/>
        </w:rPr>
        <w:t>June 2014</w:t>
      </w:r>
      <w:r>
        <w:rPr>
          <w:iCs/>
          <w:smallCaps/>
        </w:rPr>
        <w:t>.</w:t>
      </w:r>
    </w:p>
  </w:footnote>
  <w:footnote w:id="122">
    <w:p w14:paraId="360FF1FE" w14:textId="77777777" w:rsidR="00E81370" w:rsidRPr="00CF18D9" w:rsidRDefault="00E81370" w:rsidP="00451969">
      <w:pPr>
        <w:pStyle w:val="FootnoteText"/>
        <w:ind w:firstLine="0"/>
      </w:pPr>
      <w:r w:rsidRPr="00E13C6A">
        <w:rPr>
          <w:rStyle w:val="FootnoteReference"/>
        </w:rPr>
        <w:footnoteRef/>
      </w:r>
      <w:r w:rsidRPr="00E13C6A">
        <w:t xml:space="preserve">BRR, Trade Secret and Noncompete Reported Decisions, 2014 </w:t>
      </w:r>
      <w:hyperlink r:id="rId14" w:history="1">
        <w:r w:rsidRPr="00E13C6A">
          <w:rPr>
            <w:rStyle w:val="Hyperlink"/>
          </w:rPr>
          <w:t>http://faircompetitionlaw.files.wordpress.com/2014/01/trade-secret-cases-survey-graph-20140105.jpg</w:t>
        </w:r>
      </w:hyperlink>
    </w:p>
  </w:footnote>
  <w:footnote w:id="123">
    <w:p w14:paraId="1CC36C2D" w14:textId="77777777" w:rsidR="00E81370" w:rsidRPr="00016B9E" w:rsidRDefault="00E81370" w:rsidP="00E13C6A">
      <w:pPr>
        <w:pStyle w:val="FootnoteText"/>
        <w:ind w:firstLine="0"/>
      </w:pPr>
      <w:r w:rsidRPr="00E13C6A">
        <w:rPr>
          <w:vertAlign w:val="superscript"/>
        </w:rPr>
        <w:footnoteRef/>
      </w:r>
      <w:r>
        <w:t xml:space="preserve"> Matthew Huddleston, </w:t>
      </w:r>
      <w:r w:rsidRPr="00E76FCE">
        <w:rPr>
          <w:i/>
        </w:rPr>
        <w:t>Foot Anstey: Non-compete clauses</w:t>
      </w:r>
      <w:r>
        <w:rPr>
          <w:i/>
        </w:rPr>
        <w:t xml:space="preserve"> - the most powerful weapon for employers, </w:t>
      </w:r>
      <w:r>
        <w:t xml:space="preserve">Money Marketing. May 27 2014.  </w:t>
      </w:r>
    </w:p>
  </w:footnote>
  <w:footnote w:id="124">
    <w:p w14:paraId="1019B818" w14:textId="77777777" w:rsidR="00E81370" w:rsidRDefault="00E81370" w:rsidP="00540C44">
      <w:pPr>
        <w:pStyle w:val="FootnoteText"/>
        <w:ind w:firstLine="0"/>
      </w:pPr>
      <w:r>
        <w:rPr>
          <w:rStyle w:val="FootnoteReference"/>
        </w:rPr>
        <w:footnoteRef/>
      </w:r>
      <w:r>
        <w:t xml:space="preserve"> </w:t>
      </w:r>
      <w:r w:rsidRPr="00996AFE">
        <w:rPr>
          <w:color w:val="auto"/>
        </w:rPr>
        <w:t xml:space="preserve">Orly Lobel, </w:t>
      </w:r>
      <w:r w:rsidRPr="00996AFE">
        <w:rPr>
          <w:bCs/>
          <w:i/>
          <w:color w:val="auto"/>
        </w:rPr>
        <w:t>Suppressing Mobility Suppresses Innovation</w:t>
      </w:r>
      <w:r>
        <w:rPr>
          <w:bCs/>
          <w:i/>
          <w:color w:val="auto"/>
        </w:rPr>
        <w:t>,</w:t>
      </w:r>
      <w:r w:rsidRPr="00996AFE">
        <w:rPr>
          <w:bCs/>
          <w:i/>
          <w:color w:val="auto"/>
        </w:rPr>
        <w:t xml:space="preserve"> </w:t>
      </w:r>
      <w:r w:rsidRPr="009342B8">
        <w:rPr>
          <w:bCs/>
          <w:smallCaps/>
          <w:color w:val="auto"/>
        </w:rPr>
        <w:t>N.Y. Times</w:t>
      </w:r>
      <w:r w:rsidRPr="009342B8">
        <w:rPr>
          <w:bCs/>
          <w:color w:val="auto"/>
        </w:rPr>
        <w:t>. June 11, 2014.</w:t>
      </w:r>
    </w:p>
  </w:footnote>
  <w:footnote w:id="125">
    <w:p w14:paraId="45B8179B" w14:textId="77777777" w:rsidR="00E81370" w:rsidRPr="00AF020C" w:rsidRDefault="00E81370" w:rsidP="00161FD1">
      <w:pPr>
        <w:pStyle w:val="FootnoteText"/>
        <w:ind w:firstLine="0"/>
      </w:pPr>
      <w:r w:rsidRPr="00AF020C">
        <w:rPr>
          <w:rStyle w:val="FootnoteReference"/>
        </w:rPr>
        <w:footnoteRef/>
      </w:r>
      <w:r w:rsidRPr="00AF020C">
        <w:t xml:space="preserve"> </w:t>
      </w:r>
      <w:r w:rsidRPr="00AF020C">
        <w:rPr>
          <w:color w:val="252525"/>
          <w:u w:color="252525"/>
        </w:rPr>
        <w:t xml:space="preserve">Ian Hargreaves, </w:t>
      </w:r>
      <w:r w:rsidRPr="00AF020C">
        <w:rPr>
          <w:i/>
          <w:color w:val="252525"/>
          <w:u w:color="252525"/>
        </w:rPr>
        <w:t xml:space="preserve">Digital Opportunity: A Review of Intellectual Property and Growth </w:t>
      </w:r>
      <w:r w:rsidRPr="00AF020C">
        <w:rPr>
          <w:color w:val="252525"/>
          <w:u w:color="252525"/>
        </w:rPr>
        <w:t>(May 2011).</w:t>
      </w:r>
    </w:p>
  </w:footnote>
  <w:footnote w:id="126">
    <w:p w14:paraId="426E7990" w14:textId="77777777" w:rsidR="00E81370" w:rsidRPr="00AF020C" w:rsidRDefault="00E81370">
      <w:pPr>
        <w:pStyle w:val="FootnoteText"/>
        <w:ind w:firstLine="0"/>
      </w:pPr>
      <w:r w:rsidRPr="00AF020C">
        <w:rPr>
          <w:vertAlign w:val="superscript"/>
        </w:rPr>
        <w:footnoteRef/>
      </w:r>
      <w:r w:rsidRPr="00AF020C">
        <w:rPr>
          <w:color w:val="252525"/>
          <w:u w:color="252525"/>
        </w:rPr>
        <w:t xml:space="preserve">Carl Shapiro, </w:t>
      </w:r>
      <w:r w:rsidRPr="00AF020C">
        <w:rPr>
          <w:i/>
          <w:color w:val="252525"/>
          <w:u w:color="252525"/>
        </w:rPr>
        <w:t xml:space="preserve">Navigating the Patent Thicket: Cross Licenses, Patent Pools, and Standard-Setting </w:t>
      </w:r>
      <w:r w:rsidRPr="00AF020C">
        <w:rPr>
          <w:color w:val="252525"/>
          <w:u w:color="252525"/>
        </w:rPr>
        <w:t>(2001). In Adam B. Jaffe; </w:t>
      </w:r>
      <w:r w:rsidRPr="00AF020C">
        <w:rPr>
          <w:iCs/>
          <w:color w:val="252525"/>
          <w:u w:color="252525"/>
        </w:rPr>
        <w:t>et al</w:t>
      </w:r>
      <w:r w:rsidRPr="00AF020C">
        <w:rPr>
          <w:i/>
          <w:iCs/>
          <w:color w:val="252525"/>
          <w:u w:color="252525"/>
        </w:rPr>
        <w:t>.</w:t>
      </w:r>
      <w:r w:rsidRPr="00AF020C">
        <w:rPr>
          <w:color w:val="252525"/>
          <w:u w:color="252525"/>
        </w:rPr>
        <w:t>, </w:t>
      </w:r>
      <w:r w:rsidRPr="00AF020C">
        <w:rPr>
          <w:i/>
          <w:iCs/>
          <w:color w:val="252525"/>
          <w:u w:color="252525"/>
        </w:rPr>
        <w:t>Innovation Policy and the Economy</w:t>
      </w:r>
      <w:r w:rsidRPr="00AF020C">
        <w:rPr>
          <w:color w:val="252525"/>
          <w:u w:color="252525"/>
        </w:rPr>
        <w:t> I. Cambridge: MIT Press, 119–150, ISBN 0-262-60041-2.</w:t>
      </w:r>
    </w:p>
  </w:footnote>
  <w:footnote w:id="127">
    <w:p w14:paraId="233A6481" w14:textId="77777777" w:rsidR="00E81370" w:rsidRPr="00016B9E" w:rsidRDefault="00E81370" w:rsidP="004D5715">
      <w:pPr>
        <w:pStyle w:val="FootnoteText"/>
        <w:ind w:firstLine="0"/>
      </w:pPr>
      <w:r w:rsidRPr="00016B9E">
        <w:rPr>
          <w:vertAlign w:val="superscript"/>
        </w:rPr>
        <w:footnoteRef/>
      </w:r>
      <w:r>
        <w:t xml:space="preserve"> </w:t>
      </w:r>
      <w:r w:rsidRPr="00016B9E">
        <w:t xml:space="preserve">CopyPro, Inc. v. Musgrove, 754 S.E.2d 188 (N.C. Ct. App. 2014). </w:t>
      </w:r>
    </w:p>
  </w:footnote>
  <w:footnote w:id="128">
    <w:p w14:paraId="122E5E84" w14:textId="77777777" w:rsidR="00E81370" w:rsidRDefault="00E81370" w:rsidP="00CE0582">
      <w:pPr>
        <w:pStyle w:val="FootnoteText"/>
        <w:ind w:firstLine="0"/>
      </w:pPr>
      <w:r>
        <w:rPr>
          <w:rStyle w:val="FootnoteReference"/>
        </w:rPr>
        <w:footnoteRef/>
      </w:r>
      <w:r>
        <w:t xml:space="preserve"> </w:t>
      </w:r>
      <w:r w:rsidRPr="00D34803">
        <w:t xml:space="preserve">Arthur Murray Dance Studios v. Witter, 105 N.E.2d 685, 687-88 (Ohio Ct. C.P. 1952). </w:t>
      </w:r>
    </w:p>
  </w:footnote>
  <w:footnote w:id="129">
    <w:p w14:paraId="17ECA388" w14:textId="77777777" w:rsidR="00E81370" w:rsidRPr="00AF020C" w:rsidRDefault="00E81370" w:rsidP="004D5715">
      <w:pPr>
        <w:pStyle w:val="FootnoteText"/>
        <w:ind w:firstLine="0"/>
      </w:pPr>
      <w:r w:rsidRPr="00AF020C">
        <w:rPr>
          <w:vertAlign w:val="superscript"/>
        </w:rPr>
        <w:footnoteRef/>
      </w:r>
      <w:r w:rsidRPr="00AF020C">
        <w:t xml:space="preserve"> Orly Lobel, </w:t>
      </w:r>
      <w:r w:rsidRPr="00AF020C">
        <w:rPr>
          <w:i/>
          <w:iCs/>
        </w:rPr>
        <w:t>Intellectual Property and Restrictive Covenants</w:t>
      </w:r>
      <w:r w:rsidRPr="00AF020C">
        <w:t xml:space="preserve">, </w:t>
      </w:r>
      <w:r w:rsidRPr="00AF020C">
        <w:rPr>
          <w:iCs/>
        </w:rPr>
        <w:t xml:space="preserve">in </w:t>
      </w:r>
      <w:r w:rsidRPr="00AF020C">
        <w:rPr>
          <w:smallCaps/>
        </w:rPr>
        <w:t>Elgar Encyclopedia of Employ’t L. and Econ. (</w:t>
      </w:r>
      <w:r w:rsidRPr="00AF020C">
        <w:t>Kenneth Dau-Schmidt, Seth Harris &amp; Orly Lobel eds., 2009).</w:t>
      </w:r>
    </w:p>
  </w:footnote>
  <w:footnote w:id="130">
    <w:p w14:paraId="6C4A4702" w14:textId="77777777" w:rsidR="00E81370" w:rsidRDefault="00E81370" w:rsidP="009276CA">
      <w:pPr>
        <w:pStyle w:val="FootnoteText"/>
        <w:ind w:firstLine="0"/>
      </w:pPr>
      <w:r>
        <w:rPr>
          <w:rStyle w:val="FootnoteReference"/>
        </w:rPr>
        <w:footnoteRef/>
      </w:r>
      <w:r>
        <w:t xml:space="preserve"> </w:t>
      </w:r>
      <w:r w:rsidRPr="005751F2">
        <w:t>Matt Marx &amp;</w:t>
      </w:r>
      <w:r>
        <w:t xml:space="preserve"> </w:t>
      </w:r>
      <w:r w:rsidRPr="005751F2">
        <w:t xml:space="preserve">Lee Fleming, </w:t>
      </w:r>
      <w:r w:rsidRPr="005751F2">
        <w:rPr>
          <w:i/>
          <w:iCs/>
        </w:rPr>
        <w:t xml:space="preserve">Non-compete Agreements: Barriers to Entry…and Exit?, </w:t>
      </w:r>
      <w:r w:rsidRPr="005751F2">
        <w:rPr>
          <w:i/>
        </w:rPr>
        <w:t xml:space="preserve">in </w:t>
      </w:r>
      <w:r w:rsidRPr="005751F2">
        <w:rPr>
          <w:iCs/>
        </w:rPr>
        <w:t>Innovation Policy and the Economy</w:t>
      </w:r>
      <w:r w:rsidRPr="005751F2">
        <w:t xml:space="preserve">12. (J. Lerner and S. Stern eds., 2012); </w:t>
      </w:r>
      <w:r w:rsidRPr="005751F2">
        <w:rPr>
          <w:lang w:val="de-DE"/>
        </w:rPr>
        <w:t xml:space="preserve">Matt Marx, </w:t>
      </w:r>
      <w:r w:rsidRPr="005751F2">
        <w:rPr>
          <w:i/>
          <w:iCs/>
          <w:lang w:val="de-DE"/>
        </w:rPr>
        <w:t>The Firm Strikes Back: Non-compete Agreements and the Mobility of Technical Professionals</w:t>
      </w:r>
      <w:r w:rsidRPr="005751F2">
        <w:rPr>
          <w:lang w:val="de-DE"/>
        </w:rPr>
        <w:t xml:space="preserve">, 76 </w:t>
      </w:r>
      <w:r w:rsidRPr="005751F2">
        <w:rPr>
          <w:smallCaps/>
          <w:lang w:val="de-DE"/>
        </w:rPr>
        <w:t>Am. Soc. Rev</w:t>
      </w:r>
      <w:r w:rsidRPr="005751F2">
        <w:rPr>
          <w:lang w:val="de-DE"/>
        </w:rPr>
        <w:t>. 695, 695 (2011).</w:t>
      </w:r>
    </w:p>
  </w:footnote>
  <w:footnote w:id="131">
    <w:p w14:paraId="7893172D" w14:textId="77777777" w:rsidR="00E81370" w:rsidRPr="00016B9E" w:rsidRDefault="00E81370" w:rsidP="00C81DA8">
      <w:pPr>
        <w:ind w:firstLine="0"/>
        <w:rPr>
          <w:sz w:val="20"/>
          <w:szCs w:val="20"/>
        </w:rPr>
      </w:pPr>
      <w:r w:rsidRPr="00236CD3">
        <w:rPr>
          <w:rFonts w:hAnsi="Times New Roman" w:cs="Times New Roman"/>
          <w:sz w:val="20"/>
          <w:szCs w:val="20"/>
          <w:vertAlign w:val="superscript"/>
        </w:rPr>
        <w:footnoteRef/>
      </w:r>
      <w:r w:rsidRPr="0025010A">
        <w:rPr>
          <w:rFonts w:hAnsi="Times New Roman" w:cs="Times New Roman"/>
          <w:sz w:val="20"/>
          <w:szCs w:val="20"/>
        </w:rPr>
        <w:t xml:space="preserve">Matt Marx, Jasjit Singh &amp; Lee Fleming, </w:t>
      </w:r>
      <w:r w:rsidRPr="002D5D0C">
        <w:rPr>
          <w:rFonts w:hAnsi="Times New Roman" w:cs="Times New Roman"/>
          <w:i/>
          <w:iCs/>
          <w:sz w:val="20"/>
          <w:szCs w:val="20"/>
        </w:rPr>
        <w:t>Regional Disadvantage? Non-Compete Agreements and Brain Drain</w:t>
      </w:r>
      <w:r w:rsidRPr="002D5D0C">
        <w:rPr>
          <w:rFonts w:hAnsi="Times New Roman" w:cs="Times New Roman"/>
          <w:sz w:val="20"/>
          <w:szCs w:val="20"/>
        </w:rPr>
        <w:t xml:space="preserve"> (2010) (even when California is excluded from the analysis, the data shows </w:t>
      </w:r>
      <w:r>
        <w:rPr>
          <w:rFonts w:hAnsi="Times New Roman" w:cs="Times New Roman"/>
          <w:sz w:val="20"/>
          <w:szCs w:val="20"/>
        </w:rPr>
        <w:t xml:space="preserve">a </w:t>
      </w:r>
      <w:r w:rsidRPr="002D5D0C">
        <w:rPr>
          <w:rFonts w:hAnsi="Times New Roman" w:cs="Times New Roman"/>
          <w:sz w:val="20"/>
          <w:szCs w:val="20"/>
        </w:rPr>
        <w:t>25% higher emigration rate from high enforcement states to weaker enforcing states).</w:t>
      </w:r>
      <w:r w:rsidRPr="00016B9E">
        <w:rPr>
          <w:sz w:val="20"/>
          <w:szCs w:val="20"/>
        </w:rPr>
        <w:t xml:space="preserve"> </w:t>
      </w:r>
    </w:p>
  </w:footnote>
  <w:footnote w:id="132">
    <w:p w14:paraId="3DED1880" w14:textId="77777777" w:rsidR="00E81370" w:rsidRDefault="00E81370" w:rsidP="004D5715">
      <w:pPr>
        <w:pStyle w:val="FootnoteText"/>
        <w:ind w:firstLine="0"/>
      </w:pPr>
      <w:r>
        <w:rPr>
          <w:vertAlign w:val="superscript"/>
        </w:rPr>
        <w:footnoteRef/>
      </w:r>
      <w:r>
        <w:t xml:space="preserve"> Bonds v. Philips Elec. North America, 2014 WL 222730 (E.D. Mich. January 21, 2014).</w:t>
      </w:r>
    </w:p>
  </w:footnote>
  <w:footnote w:id="133">
    <w:p w14:paraId="4BD1C9C8" w14:textId="77777777" w:rsidR="00E81370" w:rsidRPr="003C07FE" w:rsidRDefault="00E81370" w:rsidP="009276CA">
      <w:pPr>
        <w:pStyle w:val="FootnoteText"/>
        <w:ind w:firstLine="0"/>
      </w:pPr>
      <w:r w:rsidRPr="009F2C83">
        <w:rPr>
          <w:rStyle w:val="FootnoteReference"/>
        </w:rPr>
        <w:footnoteRef/>
      </w:r>
      <w:r w:rsidRPr="004B1B23">
        <w:t xml:space="preserve">California Business and Professions Code, </w:t>
      </w:r>
      <w:r w:rsidRPr="004B1B23">
        <w:rPr>
          <w:rStyle w:val="documentbody1"/>
          <w:rFonts w:ascii="Times New Roman" w:hAnsi="Times New Roman"/>
          <w:sz w:val="20"/>
          <w:szCs w:val="20"/>
        </w:rPr>
        <w:t>§ 16600.</w:t>
      </w:r>
    </w:p>
  </w:footnote>
  <w:footnote w:id="134">
    <w:p w14:paraId="4A36CAFB" w14:textId="77777777" w:rsidR="00E81370" w:rsidRDefault="00E81370" w:rsidP="006445F7">
      <w:pPr>
        <w:pStyle w:val="FootnoteText"/>
        <w:ind w:firstLine="0"/>
      </w:pPr>
      <w:r>
        <w:rPr>
          <w:rStyle w:val="FootnoteReference"/>
        </w:rPr>
        <w:footnoteRef/>
      </w:r>
      <w:r>
        <w:t xml:space="preserve"> </w:t>
      </w:r>
      <w:r w:rsidRPr="00D93887">
        <w:t>Beer &amp; Wine Servs., Inc.  v.  Dumas, No.  CV990782, 2003 WL 1194725, at *3 (Cal.  Ct. App.  Mar.  17, 2003).</w:t>
      </w:r>
    </w:p>
  </w:footnote>
  <w:footnote w:id="135">
    <w:p w14:paraId="3315EA68" w14:textId="77777777" w:rsidR="00E81370" w:rsidRDefault="00E81370" w:rsidP="00CE0582">
      <w:pPr>
        <w:pStyle w:val="FootnoteText"/>
        <w:ind w:firstLine="0"/>
      </w:pPr>
      <w:r>
        <w:rPr>
          <w:rStyle w:val="FootnoteReference"/>
        </w:rPr>
        <w:footnoteRef/>
      </w:r>
      <w:r>
        <w:t xml:space="preserve"> </w:t>
      </w:r>
      <w:r w:rsidRPr="009071B5">
        <w:t xml:space="preserve">Callum Borchers &amp; Michael B. Farrell, </w:t>
      </w:r>
      <w:r w:rsidRPr="009071B5">
        <w:rPr>
          <w:i/>
        </w:rPr>
        <w:t>Patrick looks to eliminate tech noncomepete agreements</w:t>
      </w:r>
      <w:r w:rsidRPr="009071B5">
        <w:t xml:space="preserve">, </w:t>
      </w:r>
      <w:r w:rsidRPr="009071B5">
        <w:rPr>
          <w:smallCaps/>
        </w:rPr>
        <w:t xml:space="preserve">Boston Globe. </w:t>
      </w:r>
      <w:r w:rsidRPr="009071B5">
        <w:t xml:space="preserve"> April 10, 2014.</w:t>
      </w:r>
      <w:r>
        <w:t xml:space="preserve">  </w:t>
      </w:r>
    </w:p>
  </w:footnote>
  <w:footnote w:id="136">
    <w:p w14:paraId="6ACE6ED8" w14:textId="77777777" w:rsidR="00E81370" w:rsidRPr="00542FDA" w:rsidRDefault="00E81370">
      <w:pPr>
        <w:pStyle w:val="FootnoteText"/>
        <w:ind w:firstLine="0"/>
      </w:pPr>
      <w:r w:rsidRPr="00B31C13">
        <w:rPr>
          <w:shd w:val="clear" w:color="auto" w:fill="FFFFFF"/>
          <w:vertAlign w:val="superscript"/>
        </w:rPr>
        <w:footnoteRef/>
      </w:r>
      <w:r w:rsidRPr="00B31C13">
        <w:rPr>
          <w:shd w:val="clear" w:color="auto" w:fill="FFFFFF"/>
        </w:rPr>
        <w:t xml:space="preserve">David J. Carr, </w:t>
      </w:r>
      <w:r w:rsidRPr="00B31C13">
        <w:rPr>
          <w:i/>
          <w:iCs/>
          <w:shd w:val="clear" w:color="auto" w:fill="FFFFFF"/>
        </w:rPr>
        <w:t>The Protection of Trade Secrets, Confidential Information and Goodwill: Drafting Enforceable Confidentiality, Non-Compete and</w:t>
      </w:r>
      <w:r w:rsidRPr="00FB41FF">
        <w:rPr>
          <w:i/>
          <w:iCs/>
          <w:shd w:val="clear" w:color="auto" w:fill="FFFFFF"/>
        </w:rPr>
        <w:t> </w:t>
      </w:r>
      <w:r w:rsidRPr="00A8575D">
        <w:rPr>
          <w:i/>
          <w:iCs/>
          <w:shd w:val="clear" w:color="auto" w:fill="FFFFFF"/>
        </w:rPr>
        <w:t>Non-Solicitation Agreements: 10 Tricks and Tr</w:t>
      </w:r>
      <w:r w:rsidRPr="004A40AE">
        <w:rPr>
          <w:i/>
          <w:iCs/>
          <w:shd w:val="clear" w:color="auto" w:fill="FFFFFF"/>
        </w:rPr>
        <w:t>aps</w:t>
      </w:r>
      <w:r w:rsidRPr="00504A79">
        <w:rPr>
          <w:shd w:val="clear" w:color="auto" w:fill="FFFFFF"/>
        </w:rPr>
        <w:t xml:space="preserve">, </w:t>
      </w:r>
      <w:r w:rsidRPr="003D7BFD">
        <w:rPr>
          <w:smallCaps/>
          <w:shd w:val="clear" w:color="auto" w:fill="FFFFFF"/>
        </w:rPr>
        <w:t>A.B.A</w:t>
      </w:r>
      <w:r w:rsidRPr="003D7BFD">
        <w:rPr>
          <w:shd w:val="clear" w:color="auto" w:fill="FFFFFF"/>
        </w:rPr>
        <w:t xml:space="preserve"> (2002),</w:t>
      </w:r>
      <w:r w:rsidRPr="00016B9E">
        <w:rPr>
          <w:shd w:val="clear" w:color="auto" w:fill="FFFFFF"/>
        </w:rPr>
        <w:t xml:space="preserve"> </w:t>
      </w:r>
      <w:r w:rsidRPr="004A40AE">
        <w:rPr>
          <w:shd w:val="clear" w:color="auto" w:fill="FFFFFF"/>
        </w:rPr>
        <w:t xml:space="preserve">http://www.americanbar.org/content/dam/aba/migrated/labor/basics/tradesecrets/papers/carr.authcheckdam.pdf; David L. Johnson, </w:t>
      </w:r>
      <w:r w:rsidRPr="00542FDA">
        <w:rPr>
          <w:i/>
          <w:iCs/>
          <w:shd w:val="clear" w:color="auto" w:fill="FFFFFF"/>
        </w:rPr>
        <w:t xml:space="preserve">The Parameters of </w:t>
      </w:r>
      <w:r w:rsidRPr="00FB41FF">
        <w:rPr>
          <w:i/>
          <w:iCs/>
          <w:shd w:val="clear" w:color="auto" w:fill="FFFFFF"/>
        </w:rPr>
        <w:t>“</w:t>
      </w:r>
      <w:r w:rsidRPr="004A40AE">
        <w:rPr>
          <w:i/>
          <w:iCs/>
          <w:shd w:val="clear" w:color="auto" w:fill="FFFFFF"/>
        </w:rPr>
        <w:t>Solicitation</w:t>
      </w:r>
      <w:r w:rsidRPr="00FB41FF">
        <w:rPr>
          <w:i/>
          <w:iCs/>
          <w:shd w:val="clear" w:color="auto" w:fill="FFFFFF"/>
        </w:rPr>
        <w:t>”</w:t>
      </w:r>
      <w:r>
        <w:rPr>
          <w:i/>
          <w:iCs/>
          <w:shd w:val="clear" w:color="auto" w:fill="FFFFFF"/>
        </w:rPr>
        <w:t xml:space="preserve"> </w:t>
      </w:r>
      <w:r w:rsidRPr="004A40AE">
        <w:rPr>
          <w:i/>
          <w:iCs/>
          <w:shd w:val="clear" w:color="auto" w:fill="FFFFFF"/>
        </w:rPr>
        <w:t>in an Era of Non-Solicitation Covenants</w:t>
      </w:r>
      <w:r w:rsidRPr="00542FDA">
        <w:rPr>
          <w:shd w:val="clear" w:color="auto" w:fill="FFFFFF"/>
        </w:rPr>
        <w:t xml:space="preserve">, 28 </w:t>
      </w:r>
      <w:r w:rsidRPr="003D7BFD">
        <w:rPr>
          <w:smallCaps/>
          <w:shd w:val="clear" w:color="auto" w:fill="FFFFFF"/>
        </w:rPr>
        <w:t>ABA J. of Labor &amp; Employ</w:t>
      </w:r>
      <w:r w:rsidRPr="00FB41FF">
        <w:rPr>
          <w:smallCaps/>
          <w:shd w:val="clear" w:color="auto" w:fill="FFFFFF"/>
        </w:rPr>
        <w:t>’</w:t>
      </w:r>
      <w:r w:rsidRPr="004A40AE">
        <w:rPr>
          <w:smallCaps/>
          <w:shd w:val="clear" w:color="auto" w:fill="FFFFFF"/>
        </w:rPr>
        <w:t>t L.</w:t>
      </w:r>
      <w:r w:rsidRPr="00542FDA">
        <w:rPr>
          <w:shd w:val="clear" w:color="auto" w:fill="FFFFFF"/>
        </w:rPr>
        <w:t xml:space="preserve"> 99 (</w:t>
      </w:r>
      <w:r w:rsidRPr="003D7BFD">
        <w:rPr>
          <w:shd w:val="clear" w:color="auto" w:fill="FFFFFF"/>
        </w:rPr>
        <w:t>Fall 2012) (</w:t>
      </w:r>
      <w:r w:rsidRPr="00FB41FF">
        <w:rPr>
          <w:shd w:val="clear" w:color="auto" w:fill="FFFFFF"/>
        </w:rPr>
        <w:t>“</w:t>
      </w:r>
      <w:r w:rsidRPr="004A40AE">
        <w:rPr>
          <w:shd w:val="clear" w:color="auto" w:fill="FFFFFF"/>
        </w:rPr>
        <w:t>addition to requiring employees to be bound by non-compete and non-disclosure covenants, employers routinely require employees to be bound by covenants precluding them from soliciting customers or co-workers</w:t>
      </w:r>
      <w:r w:rsidRPr="00FB41FF">
        <w:rPr>
          <w:shd w:val="clear" w:color="auto" w:fill="FFFFFF"/>
        </w:rPr>
        <w:t>”</w:t>
      </w:r>
      <w:r w:rsidRPr="004A40AE">
        <w:rPr>
          <w:shd w:val="clear" w:color="auto" w:fill="FFFFFF"/>
        </w:rPr>
        <w:t>).</w:t>
      </w:r>
    </w:p>
  </w:footnote>
  <w:footnote w:id="137">
    <w:p w14:paraId="0C7F5739" w14:textId="77777777" w:rsidR="00E81370" w:rsidRPr="003D7BFD" w:rsidRDefault="00E81370">
      <w:pPr>
        <w:pStyle w:val="FootnoteText"/>
        <w:ind w:firstLine="0"/>
      </w:pPr>
      <w:r w:rsidRPr="003D7BFD">
        <w:rPr>
          <w:vertAlign w:val="superscript"/>
        </w:rPr>
        <w:footnoteRef/>
      </w:r>
      <w:r w:rsidRPr="003D7BFD">
        <w:rPr>
          <w:shd w:val="clear" w:color="auto" w:fill="FFFFFF"/>
        </w:rPr>
        <w:t>Curtis 1000, Inc. v. Martin, 197 F. App'x 412, 423 (6th Cir. 2006)</w:t>
      </w:r>
      <w:r w:rsidRPr="00FB41FF">
        <w:rPr>
          <w:shd w:val="clear" w:color="auto" w:fill="FFFFFF"/>
        </w:rPr>
        <w:t> </w:t>
      </w:r>
      <w:r w:rsidRPr="004A40AE">
        <w:rPr>
          <w:shd w:val="clear" w:color="auto" w:fill="FFFFFF"/>
        </w:rPr>
        <w:t>(enforcing covenant prohibiting individual from accepting</w:t>
      </w:r>
      <w:r w:rsidRPr="00542FDA">
        <w:rPr>
          <w:shd w:val="clear" w:color="auto" w:fill="FFFFFF"/>
        </w:rPr>
        <w:t xml:space="preserve"> </w:t>
      </w:r>
      <w:r w:rsidRPr="003D7BFD">
        <w:rPr>
          <w:shd w:val="clear" w:color="auto" w:fill="FFFFFF"/>
        </w:rPr>
        <w:t>unsolicited business from his former employer);</w:t>
      </w:r>
      <w:r w:rsidRPr="00FB41FF">
        <w:rPr>
          <w:shd w:val="clear" w:color="auto" w:fill="FFFFFF"/>
        </w:rPr>
        <w:t> </w:t>
      </w:r>
      <w:r w:rsidRPr="004A40AE">
        <w:rPr>
          <w:shd w:val="clear" w:color="auto" w:fill="FFFFFF"/>
        </w:rPr>
        <w:t>USI Ins. Serv., LLC v. Miner, 801 F. Supp. 2d 175, 188 (S.D.N.Y. 2011)</w:t>
      </w:r>
      <w:r>
        <w:rPr>
          <w:shd w:val="clear" w:color="auto" w:fill="FFFFFF"/>
        </w:rPr>
        <w:t xml:space="preserve"> </w:t>
      </w:r>
      <w:r w:rsidRPr="004A40AE">
        <w:rPr>
          <w:shd w:val="clear" w:color="auto" w:fill="FFFFFF"/>
        </w:rPr>
        <w:t>(same);</w:t>
      </w:r>
      <w:r w:rsidRPr="00FB41FF">
        <w:rPr>
          <w:shd w:val="clear" w:color="auto" w:fill="FFFFFF"/>
        </w:rPr>
        <w:t> </w:t>
      </w:r>
      <w:r w:rsidRPr="004A40AE">
        <w:rPr>
          <w:shd w:val="clear" w:color="auto" w:fill="FFFFFF"/>
        </w:rPr>
        <w:t>Pulse Techs., Inc. v. Dodrill, No. C</w:t>
      </w:r>
      <w:r w:rsidRPr="00542FDA">
        <w:rPr>
          <w:shd w:val="clear" w:color="auto" w:fill="FFFFFF"/>
        </w:rPr>
        <w:t>V-07-65-ST, 2007 WL 789434, at *12 (D.</w:t>
      </w:r>
      <w:r w:rsidRPr="003D7BFD">
        <w:rPr>
          <w:shd w:val="clear" w:color="auto" w:fill="FFFFFF"/>
        </w:rPr>
        <w:t xml:space="preserve"> Or. Mar. 14, 2007)</w:t>
      </w:r>
      <w:r w:rsidRPr="00FB41FF">
        <w:rPr>
          <w:shd w:val="clear" w:color="auto" w:fill="FFFFFF"/>
        </w:rPr>
        <w:t> </w:t>
      </w:r>
      <w:r w:rsidRPr="004A40AE">
        <w:rPr>
          <w:shd w:val="clear" w:color="auto" w:fill="FFFFFF"/>
        </w:rPr>
        <w:t>(same);</w:t>
      </w:r>
      <w:r w:rsidRPr="00FB41FF">
        <w:rPr>
          <w:shd w:val="clear" w:color="auto" w:fill="FFFFFF"/>
        </w:rPr>
        <w:t> </w:t>
      </w:r>
      <w:r w:rsidRPr="004A40AE">
        <w:rPr>
          <w:shd w:val="clear" w:color="auto" w:fill="FFFFFF"/>
        </w:rPr>
        <w:t>Ecolab, Inc. v.</w:t>
      </w:r>
      <w:r w:rsidRPr="00542FDA">
        <w:rPr>
          <w:shd w:val="clear" w:color="auto" w:fill="FFFFFF"/>
        </w:rPr>
        <w:t xml:space="preserve"> </w:t>
      </w:r>
      <w:r w:rsidRPr="003D7BFD">
        <w:rPr>
          <w:shd w:val="clear" w:color="auto" w:fill="FFFFFF"/>
        </w:rPr>
        <w:t>K.P. Laundry Mach., Inc., 656 F. Supp. 894, 897</w:t>
      </w:r>
      <w:r>
        <w:rPr>
          <w:shd w:val="clear" w:color="auto" w:fill="FFFFFF"/>
        </w:rPr>
        <w:t xml:space="preserve"> </w:t>
      </w:r>
      <w:r w:rsidRPr="00542FDA">
        <w:rPr>
          <w:shd w:val="clear" w:color="auto" w:fill="FFFFFF"/>
        </w:rPr>
        <w:t>(S.D.N.Y.1987)</w:t>
      </w:r>
      <w:r w:rsidRPr="00FB41FF">
        <w:rPr>
          <w:shd w:val="clear" w:color="auto" w:fill="FFFFFF"/>
        </w:rPr>
        <w:t> </w:t>
      </w:r>
      <w:r w:rsidRPr="004A40AE">
        <w:rPr>
          <w:shd w:val="clear" w:color="auto" w:fill="FFFFFF"/>
        </w:rPr>
        <w:t>(same);</w:t>
      </w:r>
      <w:r w:rsidRPr="00FB41FF">
        <w:rPr>
          <w:shd w:val="clear" w:color="auto" w:fill="FFFFFF"/>
        </w:rPr>
        <w:t> </w:t>
      </w:r>
      <w:r w:rsidRPr="004A40AE">
        <w:rPr>
          <w:shd w:val="clear" w:color="auto" w:fill="FFFFFF"/>
        </w:rPr>
        <w:t>Clark v. Liberty Nat'l Life Ins. Co., 592 So. 2d 564 (Ala. 1992);</w:t>
      </w:r>
      <w:r w:rsidRPr="00FB41FF">
        <w:rPr>
          <w:shd w:val="clear" w:color="auto" w:fill="FFFFFF"/>
        </w:rPr>
        <w:t> </w:t>
      </w:r>
      <w:r w:rsidRPr="004A40AE">
        <w:rPr>
          <w:shd w:val="clear" w:color="auto" w:fill="FFFFFF"/>
        </w:rPr>
        <w:t>Spitz, Sullivan, Wachtel</w:t>
      </w:r>
      <w:r w:rsidRPr="00542FDA">
        <w:rPr>
          <w:shd w:val="clear" w:color="auto" w:fill="FFFFFF"/>
        </w:rPr>
        <w:t xml:space="preserve"> </w:t>
      </w:r>
      <w:r w:rsidRPr="003D7BFD">
        <w:rPr>
          <w:shd w:val="clear" w:color="auto" w:fill="FFFFFF"/>
        </w:rPr>
        <w:t>&amp; Falcetta v. Murphy, No. CV-86-0322422, 1991 WL 112718, at *6 (Conn. June 13, 1991)</w:t>
      </w:r>
      <w:r w:rsidRPr="00FB41FF">
        <w:rPr>
          <w:shd w:val="clear" w:color="auto" w:fill="FFFFFF"/>
        </w:rPr>
        <w:t> </w:t>
      </w:r>
      <w:r w:rsidRPr="004A40AE">
        <w:rPr>
          <w:shd w:val="clear" w:color="auto" w:fill="FFFFFF"/>
        </w:rPr>
        <w:t>(</w:t>
      </w:r>
      <w:r w:rsidRPr="00FB41FF">
        <w:rPr>
          <w:shd w:val="clear" w:color="auto" w:fill="FFFFFF"/>
        </w:rPr>
        <w:t>“</w:t>
      </w:r>
      <w:r w:rsidRPr="004A40AE">
        <w:rPr>
          <w:shd w:val="clear" w:color="auto" w:fill="FFFFFF"/>
        </w:rPr>
        <w:t>defendant has cited no Connecticut precedent which renders such an agreement unenforceable merely because it prohibits a defecting professional employee from servicing unsolicited c</w:t>
      </w:r>
      <w:r w:rsidRPr="00542FDA">
        <w:rPr>
          <w:shd w:val="clear" w:color="auto" w:fill="FFFFFF"/>
        </w:rPr>
        <w:t>lients of his former employer</w:t>
      </w:r>
      <w:r w:rsidRPr="00FB41FF">
        <w:rPr>
          <w:shd w:val="clear" w:color="auto" w:fill="FFFFFF"/>
        </w:rPr>
        <w:t>”</w:t>
      </w:r>
      <w:r w:rsidRPr="004A40AE">
        <w:rPr>
          <w:shd w:val="clear" w:color="auto" w:fill="FFFFFF"/>
        </w:rPr>
        <w:t>);</w:t>
      </w:r>
      <w:r w:rsidRPr="00FB41FF">
        <w:rPr>
          <w:shd w:val="clear" w:color="auto" w:fill="FFFFFF"/>
        </w:rPr>
        <w:t> </w:t>
      </w:r>
      <w:r w:rsidRPr="004A40AE">
        <w:rPr>
          <w:shd w:val="clear" w:color="auto" w:fill="FFFFFF"/>
        </w:rPr>
        <w:t>Envtl.</w:t>
      </w:r>
      <w:r w:rsidRPr="00542FDA">
        <w:rPr>
          <w:shd w:val="clear" w:color="auto" w:fill="FFFFFF"/>
        </w:rPr>
        <w:t xml:space="preserve"> </w:t>
      </w:r>
      <w:r w:rsidRPr="003D7BFD">
        <w:rPr>
          <w:shd w:val="clear" w:color="auto" w:fill="FFFFFF"/>
        </w:rPr>
        <w:t>Servs., Inc. v. Carter, 9 So. 3d 1258, 1266 (Fla. Dist. Ct. App. 2009)</w:t>
      </w:r>
      <w:r w:rsidRPr="00FB41FF">
        <w:rPr>
          <w:shd w:val="clear" w:color="auto" w:fill="FFFFFF"/>
        </w:rPr>
        <w:t> </w:t>
      </w:r>
      <w:r w:rsidRPr="004A40AE">
        <w:rPr>
          <w:shd w:val="clear" w:color="auto" w:fill="FFFFFF"/>
        </w:rPr>
        <w:t>(temporary injunctive relief preventing former employee from p</w:t>
      </w:r>
      <w:r>
        <w:rPr>
          <w:shd w:val="clear" w:color="auto" w:fill="FFFFFF"/>
        </w:rPr>
        <w:t>erforming services for employer’</w:t>
      </w:r>
      <w:r w:rsidRPr="004A40AE">
        <w:rPr>
          <w:shd w:val="clear" w:color="auto" w:fill="FFFFFF"/>
        </w:rPr>
        <w:t>s customers).</w:t>
      </w:r>
    </w:p>
  </w:footnote>
  <w:footnote w:id="138">
    <w:p w14:paraId="0C41D7D6" w14:textId="77777777" w:rsidR="00E81370" w:rsidRDefault="00E81370" w:rsidP="007A6ACD">
      <w:pPr>
        <w:pStyle w:val="FootnoteText"/>
        <w:ind w:firstLine="0"/>
      </w:pPr>
      <w:r>
        <w:rPr>
          <w:rStyle w:val="FootnoteReference"/>
        </w:rPr>
        <w:footnoteRef/>
      </w:r>
      <w:r>
        <w:t xml:space="preserve"> Google contract, on file with author.</w:t>
      </w:r>
    </w:p>
  </w:footnote>
  <w:footnote w:id="139">
    <w:p w14:paraId="5501F413" w14:textId="77777777" w:rsidR="00E81370" w:rsidRPr="00A046F0" w:rsidRDefault="00E81370">
      <w:pPr>
        <w:pStyle w:val="FootnoteText"/>
        <w:ind w:firstLine="0"/>
      </w:pPr>
      <w:r w:rsidRPr="00650385">
        <w:rPr>
          <w:shd w:val="clear" w:color="auto" w:fill="FFFFFF"/>
          <w:vertAlign w:val="superscript"/>
        </w:rPr>
        <w:footnoteRef/>
      </w:r>
      <w:r w:rsidRPr="00CE27BB">
        <w:rPr>
          <w:iCs/>
          <w:color w:val="auto"/>
          <w:shd w:val="clear" w:color="auto" w:fill="FFFFFF"/>
        </w:rPr>
        <w:t>Manuel Lujan Insurance</w:t>
      </w:r>
      <w:r w:rsidRPr="00650385">
        <w:rPr>
          <w:color w:val="auto"/>
          <w:shd w:val="clear" w:color="auto" w:fill="FFFFFF"/>
        </w:rPr>
        <w:t>, </w:t>
      </w:r>
      <w:r w:rsidRPr="00CE27BB">
        <w:rPr>
          <w:iCs/>
          <w:color w:val="auto"/>
          <w:shd w:val="clear" w:color="auto" w:fill="FFFFFF"/>
        </w:rPr>
        <w:t>Inc. v. Jordan</w:t>
      </w:r>
      <w:r w:rsidRPr="00650385">
        <w:rPr>
          <w:shd w:val="clear" w:color="auto" w:fill="FFFFFF"/>
        </w:rPr>
        <w:t xml:space="preserve">, </w:t>
      </w:r>
      <w:r w:rsidRPr="00A046F0">
        <w:rPr>
          <w:shd w:val="clear" w:color="auto" w:fill="FFFFFF"/>
        </w:rPr>
        <w:t>673 P.2d 1306, 1308 (N.M. 1983).</w:t>
      </w:r>
    </w:p>
  </w:footnote>
  <w:footnote w:id="140">
    <w:p w14:paraId="46FD53BE" w14:textId="77777777" w:rsidR="00E81370" w:rsidRPr="00CE27BB" w:rsidRDefault="00E81370" w:rsidP="003C1F18">
      <w:pPr>
        <w:ind w:firstLine="0"/>
        <w:rPr>
          <w:rFonts w:hAnsi="Times New Roman" w:cs="Times New Roman"/>
          <w:b/>
          <w:sz w:val="20"/>
          <w:szCs w:val="20"/>
        </w:rPr>
      </w:pPr>
      <w:r w:rsidRPr="00CE27BB">
        <w:rPr>
          <w:rStyle w:val="FootnoteReference"/>
          <w:rFonts w:hAnsi="Times New Roman" w:cs="Times New Roman"/>
          <w:sz w:val="20"/>
          <w:szCs w:val="20"/>
        </w:rPr>
        <w:footnoteRef/>
      </w:r>
      <w:r w:rsidRPr="00BC643D">
        <w:rPr>
          <w:rFonts w:hAnsi="Times New Roman" w:cs="Times New Roman"/>
          <w:sz w:val="20"/>
          <w:szCs w:val="20"/>
        </w:rPr>
        <w:t xml:space="preserve"> </w:t>
      </w:r>
      <w:r w:rsidRPr="000F044E">
        <w:rPr>
          <w:rFonts w:hAnsi="Times New Roman" w:cs="Times New Roman"/>
          <w:sz w:val="20"/>
          <w:szCs w:val="20"/>
        </w:rPr>
        <w:t>Optos Inc. v. Topcon Med. Sys., Inc., 777 F.Supp.2d 217 (2011); Tom James Co. v. Hudgins 261 F.Supp.2d 636 (2003); Home Pride Foods, Inc. v. Johnson 634 N.W.2d.774 (2001).</w:t>
      </w:r>
    </w:p>
  </w:footnote>
  <w:footnote w:id="141">
    <w:p w14:paraId="7F828DDD" w14:textId="77777777" w:rsidR="00E81370" w:rsidRPr="00CE27BB" w:rsidRDefault="00E81370" w:rsidP="00CE27BB">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jc w:val="left"/>
        <w:rPr>
          <w:color w:val="auto"/>
          <w:bdr w:val="none" w:sz="0" w:space="0" w:color="auto"/>
        </w:rPr>
      </w:pPr>
      <w:r w:rsidRPr="00CE27BB">
        <w:rPr>
          <w:rFonts w:hAnsi="Times New Roman" w:cs="Times New Roman"/>
          <w:sz w:val="20"/>
          <w:szCs w:val="20"/>
          <w:vertAlign w:val="superscript"/>
        </w:rPr>
        <w:footnoteRef/>
      </w:r>
      <w:r w:rsidRPr="00CE27BB">
        <w:rPr>
          <w:rFonts w:hAnsi="Times New Roman" w:cs="Times New Roman"/>
          <w:sz w:val="20"/>
          <w:szCs w:val="20"/>
          <w:shd w:val="clear" w:color="auto" w:fill="FFFFFF"/>
        </w:rPr>
        <w:t xml:space="preserve"> </w:t>
      </w:r>
      <w:r w:rsidRPr="00CE27BB">
        <w:rPr>
          <w:rFonts w:eastAsia="Times New Roman" w:hAnsi="Times New Roman" w:cs="Times New Roman"/>
          <w:color w:val="auto"/>
          <w:sz w:val="20"/>
          <w:szCs w:val="20"/>
          <w:bdr w:val="none" w:sz="0" w:space="0" w:color="auto"/>
        </w:rPr>
        <w:t>Int'l Sec. Mgmt. Grp., Inc. v. Sawyer, 3:06CV0456, 2006 WL 1638537 (M.D. Tenn. June 6, 2006)</w:t>
      </w:r>
      <w:r>
        <w:rPr>
          <w:rFonts w:eastAsia="Times New Roman" w:hAnsi="Times New Roman" w:cs="Times New Roman"/>
          <w:color w:val="auto"/>
          <w:sz w:val="20"/>
          <w:szCs w:val="20"/>
          <w:bdr w:val="none" w:sz="0" w:space="0" w:color="auto"/>
        </w:rPr>
        <w:t xml:space="preserve">. </w:t>
      </w:r>
    </w:p>
  </w:footnote>
  <w:footnote w:id="142">
    <w:p w14:paraId="4E89626D" w14:textId="77777777" w:rsidR="00E81370" w:rsidRPr="00CE27BB" w:rsidRDefault="00E81370" w:rsidP="00CE27BB">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eastAsia="Times New Roman" w:hAnsi="Times New Roman" w:cs="Times New Roman"/>
          <w:color w:val="auto"/>
          <w:sz w:val="20"/>
          <w:szCs w:val="20"/>
          <w:bdr w:val="none" w:sz="0" w:space="0" w:color="auto"/>
        </w:rPr>
      </w:pPr>
      <w:r w:rsidRPr="00BC643D">
        <w:rPr>
          <w:rFonts w:hAnsi="Times New Roman" w:cs="Times New Roman"/>
          <w:sz w:val="20"/>
          <w:szCs w:val="20"/>
          <w:vertAlign w:val="superscript"/>
        </w:rPr>
        <w:footnoteRef/>
      </w:r>
      <w:r w:rsidRPr="003C2850">
        <w:rPr>
          <w:rFonts w:hAnsi="Times New Roman" w:cs="Times New Roman"/>
          <w:sz w:val="20"/>
          <w:szCs w:val="20"/>
          <w:shd w:val="clear" w:color="auto" w:fill="FFFFFF"/>
        </w:rPr>
        <w:t xml:space="preserve"> </w:t>
      </w:r>
      <w:r w:rsidRPr="009342B8">
        <w:rPr>
          <w:rFonts w:eastAsia="Times New Roman" w:hAnsi="Times New Roman" w:cs="Times New Roman"/>
          <w:color w:val="auto"/>
          <w:sz w:val="20"/>
          <w:szCs w:val="20"/>
          <w:bdr w:val="none" w:sz="0" w:space="0" w:color="auto"/>
        </w:rPr>
        <w:t>Enhanced Network Solutions Grp., Inc. v. Hypersonic Technologies Corp.,</w:t>
      </w:r>
      <w:r w:rsidRPr="00CE27BB">
        <w:rPr>
          <w:rFonts w:eastAsia="Times New Roman" w:hAnsi="Times New Roman" w:cs="Times New Roman"/>
          <w:color w:val="auto"/>
          <w:sz w:val="20"/>
          <w:szCs w:val="20"/>
          <w:bdr w:val="none" w:sz="0" w:space="0" w:color="auto"/>
        </w:rPr>
        <w:t xml:space="preserve"> 951 </w:t>
      </w:r>
      <w:r w:rsidRPr="008259DB">
        <w:rPr>
          <w:rFonts w:hAnsi="Times New Roman" w:cs="Times New Roman"/>
          <w:sz w:val="20"/>
          <w:szCs w:val="20"/>
          <w:shd w:val="clear" w:color="auto" w:fill="FFFFFF"/>
        </w:rPr>
        <w:t>N.E.2d 265 (Ind. Ct. App. 2011); Meyer-Chatfield v. Century Bus. Servicing, Inc., 732 F. Supp. 2d 514 (E.D. Pa. 2010)</w:t>
      </w:r>
      <w:r>
        <w:rPr>
          <w:rFonts w:hAnsi="Times New Roman" w:cs="Times New Roman"/>
          <w:sz w:val="20"/>
          <w:szCs w:val="20"/>
          <w:shd w:val="clear" w:color="auto" w:fill="FFFFFF"/>
        </w:rPr>
        <w:t xml:space="preserve"> </w:t>
      </w:r>
      <w:r w:rsidRPr="008259DB">
        <w:rPr>
          <w:rFonts w:hAnsi="Times New Roman" w:cs="Times New Roman"/>
          <w:sz w:val="20"/>
          <w:szCs w:val="20"/>
        </w:rPr>
        <w:t>(“the term ‘solicit’ as such is not ambiguous, and cannot be defined to include mere hiring,” and “the parties could have easily stipulated that Defendants could not ‘solicit or hire’ Plaintiff employees, but instead used only the word ‘solicit”’).</w:t>
      </w:r>
    </w:p>
  </w:footnote>
  <w:footnote w:id="143">
    <w:p w14:paraId="0791D547" w14:textId="77777777" w:rsidR="00E81370" w:rsidRPr="003C721F" w:rsidRDefault="00E81370">
      <w:pPr>
        <w:pStyle w:val="FootnoteText"/>
        <w:ind w:firstLine="0"/>
      </w:pPr>
      <w:r w:rsidRPr="00BC643D">
        <w:rPr>
          <w:vertAlign w:val="superscript"/>
        </w:rPr>
        <w:footnoteRef/>
      </w:r>
      <w:r w:rsidRPr="000F044E">
        <w:t xml:space="preserve"> Still, some courts have found that non-hiring clauses are unenforceable, similarly to non-competes, </w:t>
      </w:r>
      <w:r w:rsidRPr="00CE27BB">
        <w:rPr>
          <w:shd w:val="clear" w:color="auto" w:fill="FFFFFF"/>
        </w:rPr>
        <w:t>Cox v. Altus Healthcare &amp; Hospice, Inc., 706 S.E.2d 660, 664 (Ga. Ct. App. 2011)</w:t>
      </w:r>
      <w:r w:rsidRPr="00CE27BB">
        <w:t xml:space="preserve">; </w:t>
      </w:r>
      <w:r w:rsidRPr="00CE27BB">
        <w:rPr>
          <w:shd w:val="clear" w:color="auto" w:fill="FFFFFF"/>
        </w:rPr>
        <w:t>Cap Gemini Am., Inc. v. Judd, 597 N.E.2d 1272, 1287 (Ind. Ct. App. 1992)</w:t>
      </w:r>
      <w:r w:rsidRPr="00CE27BB">
        <w:t>.</w:t>
      </w:r>
    </w:p>
  </w:footnote>
  <w:footnote w:id="144">
    <w:p w14:paraId="00AFCAEE" w14:textId="77777777" w:rsidR="00E81370" w:rsidRPr="00273FAE" w:rsidRDefault="00E81370" w:rsidP="00BA1C09">
      <w:pPr>
        <w:ind w:firstLine="0"/>
        <w:rPr>
          <w:rFonts w:hAnsi="Times New Roman" w:cs="Times New Roman"/>
          <w:sz w:val="20"/>
          <w:szCs w:val="20"/>
        </w:rPr>
      </w:pPr>
      <w:r w:rsidRPr="0015608A">
        <w:rPr>
          <w:rFonts w:hAnsi="Times New Roman" w:cs="Times New Roman"/>
          <w:sz w:val="20"/>
          <w:szCs w:val="20"/>
          <w:vertAlign w:val="superscript"/>
        </w:rPr>
        <w:footnoteRef/>
      </w:r>
      <w:r w:rsidRPr="009342B8">
        <w:rPr>
          <w:rFonts w:hAnsi="Times New Roman" w:cs="Times New Roman"/>
          <w:sz w:val="20"/>
          <w:szCs w:val="20"/>
        </w:rPr>
        <w:t xml:space="preserve">Remarks as Prepared for Delivery by Assistant Attorney General Bill Baer </w:t>
      </w:r>
      <w:r>
        <w:rPr>
          <w:rFonts w:hAnsi="Times New Roman" w:cs="Times New Roman"/>
          <w:sz w:val="20"/>
          <w:szCs w:val="20"/>
        </w:rPr>
        <w:t>at</w:t>
      </w:r>
      <w:r w:rsidRPr="009342B8">
        <w:rPr>
          <w:rFonts w:hAnsi="Times New Roman" w:cs="Times New Roman"/>
          <w:sz w:val="20"/>
          <w:szCs w:val="20"/>
        </w:rPr>
        <w:t xml:space="preserve"> the Conference Call Regarding the Justice Department’s</w:t>
      </w:r>
      <w:r>
        <w:rPr>
          <w:rFonts w:hAnsi="Times New Roman" w:cs="Times New Roman"/>
          <w:sz w:val="20"/>
          <w:szCs w:val="20"/>
        </w:rPr>
        <w:t xml:space="preserve"> Settlement with</w:t>
      </w:r>
      <w:r w:rsidRPr="009342B8">
        <w:rPr>
          <w:rFonts w:hAnsi="Times New Roman" w:cs="Times New Roman"/>
          <w:sz w:val="20"/>
          <w:szCs w:val="20"/>
        </w:rPr>
        <w:t xml:space="preserve"> e</w:t>
      </w:r>
      <w:r>
        <w:rPr>
          <w:rFonts w:hAnsi="Times New Roman" w:cs="Times New Roman"/>
          <w:sz w:val="20"/>
          <w:szCs w:val="20"/>
        </w:rPr>
        <w:t>B</w:t>
      </w:r>
      <w:r w:rsidRPr="009342B8">
        <w:rPr>
          <w:rFonts w:hAnsi="Times New Roman" w:cs="Times New Roman"/>
          <w:sz w:val="20"/>
          <w:szCs w:val="20"/>
        </w:rPr>
        <w:t xml:space="preserve">ay </w:t>
      </w:r>
      <w:r>
        <w:rPr>
          <w:rFonts w:hAnsi="Times New Roman" w:cs="Times New Roman"/>
          <w:sz w:val="20"/>
          <w:szCs w:val="20"/>
        </w:rPr>
        <w:t>I</w:t>
      </w:r>
      <w:r w:rsidRPr="009342B8">
        <w:rPr>
          <w:rFonts w:hAnsi="Times New Roman" w:cs="Times New Roman"/>
          <w:sz w:val="20"/>
          <w:szCs w:val="20"/>
        </w:rPr>
        <w:t xml:space="preserve">nc. </w:t>
      </w:r>
      <w:r>
        <w:rPr>
          <w:rFonts w:hAnsi="Times New Roman" w:cs="Times New Roman"/>
          <w:sz w:val="20"/>
          <w:szCs w:val="20"/>
        </w:rPr>
        <w:t xml:space="preserve">To End Anticompetitive “No Poach” Hiring Agreements Thursday, May 1, </w:t>
      </w:r>
      <w:r w:rsidRPr="00340EE9">
        <w:rPr>
          <w:rFonts w:hAnsi="Times New Roman" w:cs="Times New Roman"/>
          <w:sz w:val="20"/>
          <w:szCs w:val="20"/>
        </w:rPr>
        <w:t xml:space="preserve">2014 Delivery by Assistant Attorney General Bill Baer </w:t>
      </w:r>
      <w:r w:rsidRPr="00F528E6">
        <w:rPr>
          <w:rStyle w:val="Hyperlink7"/>
          <w:rFonts w:hAnsi="Times New Roman" w:cs="Times New Roman"/>
          <w:color w:val="auto"/>
        </w:rPr>
        <w:t>WWW.JUSTICE.GOV</w:t>
      </w:r>
      <w:r w:rsidRPr="00340EE9">
        <w:rPr>
          <w:rStyle w:val="Hyperlink7"/>
          <w:rFonts w:hAnsi="Times New Roman" w:cs="Times New Roman"/>
        </w:rPr>
        <w:t xml:space="preserve"> </w:t>
      </w:r>
      <w:r w:rsidRPr="009342B8">
        <w:rPr>
          <w:rFonts w:hAnsi="Times New Roman" w:cs="Times New Roman"/>
          <w:sz w:val="20"/>
          <w:szCs w:val="20"/>
        </w:rPr>
        <w:t>WASHINGTON, D.C.</w:t>
      </w:r>
    </w:p>
  </w:footnote>
  <w:footnote w:id="145">
    <w:p w14:paraId="7308C089" w14:textId="77777777" w:rsidR="00E81370" w:rsidRPr="000A1D4D" w:rsidRDefault="00E81370" w:rsidP="00BA1C09">
      <w:pPr>
        <w:pStyle w:val="FootnoteText"/>
        <w:ind w:firstLine="0"/>
      </w:pPr>
      <w:r w:rsidRPr="00AB2860">
        <w:rPr>
          <w:vertAlign w:val="superscript"/>
        </w:rPr>
        <w:footnoteRef/>
      </w:r>
      <w:r w:rsidRPr="00AB2860">
        <w:t xml:space="preserve"> Google had a protocol for “</w:t>
      </w:r>
      <w:r w:rsidRPr="00274B60">
        <w:t>do not call cold</w:t>
      </w:r>
      <w:r w:rsidRPr="00AB2860">
        <w:t>”</w:t>
      </w:r>
      <w:r>
        <w:t xml:space="preserve"> </w:t>
      </w:r>
      <w:r w:rsidRPr="00274B60">
        <w:t xml:space="preserve">and </w:t>
      </w:r>
      <w:r w:rsidRPr="00AB2860">
        <w:t>“</w:t>
      </w:r>
      <w:r w:rsidRPr="00274B60">
        <w:t>sensitive</w:t>
      </w:r>
      <w:r w:rsidRPr="00AB2860">
        <w:t>”</w:t>
      </w:r>
      <w:r>
        <w:t xml:space="preserve"> </w:t>
      </w:r>
      <w:r w:rsidRPr="00274B60">
        <w:t xml:space="preserve">companies. </w:t>
      </w:r>
    </w:p>
  </w:footnote>
  <w:footnote w:id="146">
    <w:p w14:paraId="31CF2AD4" w14:textId="77777777" w:rsidR="00E81370" w:rsidRDefault="00E81370" w:rsidP="00BA1C09">
      <w:pPr>
        <w:pStyle w:val="FootnoteText"/>
        <w:ind w:firstLine="0"/>
      </w:pPr>
      <w:r>
        <w:rPr>
          <w:rStyle w:val="FootnoteReference"/>
        </w:rPr>
        <w:footnoteRef/>
      </w:r>
      <w:r>
        <w:t xml:space="preserve"> David Streitfeld, </w:t>
      </w:r>
      <w:r w:rsidRPr="00CE27BB">
        <w:rPr>
          <w:i/>
        </w:rPr>
        <w:t>Engineers Allege Hiring Collusion in Silicon Valley</w:t>
      </w:r>
      <w:r>
        <w:t xml:space="preserve">, </w:t>
      </w:r>
      <w:r w:rsidRPr="009342B8">
        <w:rPr>
          <w:smallCaps/>
        </w:rPr>
        <w:t>N.Y. Times</w:t>
      </w:r>
      <w:r>
        <w:t xml:space="preserve">. Feb. 28, 2014.  </w:t>
      </w:r>
    </w:p>
  </w:footnote>
  <w:footnote w:id="147">
    <w:p w14:paraId="73AACAF9" w14:textId="77777777" w:rsidR="00E81370" w:rsidRPr="00016B9E" w:rsidRDefault="00E81370">
      <w:pPr>
        <w:pStyle w:val="FootnoteText"/>
        <w:ind w:firstLine="0"/>
      </w:pPr>
      <w:r w:rsidRPr="00016B9E">
        <w:rPr>
          <w:vertAlign w:val="superscript"/>
        </w:rPr>
        <w:footnoteRef/>
      </w:r>
      <w:r>
        <w:t xml:space="preserve"> </w:t>
      </w:r>
      <w:r w:rsidRPr="00016B9E">
        <w:t>Compl.</w:t>
      </w:r>
      <w:r>
        <w:t xml:space="preserve"> </w:t>
      </w:r>
      <w:r w:rsidRPr="00016B9E">
        <w:t xml:space="preserve">at 32-33, Pradeep Shah v. Google Inc. et al.(Cal. Super. </w:t>
      </w:r>
      <w:r w:rsidRPr="00662A58">
        <w:rPr>
          <w:lang w:val="es-ES_tradnl"/>
        </w:rPr>
        <w:t xml:space="preserve">Ct. Santa Clara Cnty., Apr. 29. </w:t>
      </w:r>
      <w:r w:rsidRPr="00016B9E">
        <w:t>2014)</w:t>
      </w:r>
      <w:r>
        <w:t xml:space="preserve"> (No.</w:t>
      </w:r>
      <w:r w:rsidRPr="00016B9E">
        <w:t>114-cv-264512</w:t>
      </w:r>
      <w:r>
        <w:t>).</w:t>
      </w:r>
    </w:p>
  </w:footnote>
  <w:footnote w:id="148">
    <w:p w14:paraId="7A39A8FE" w14:textId="77777777" w:rsidR="00E81370" w:rsidRPr="00274B60" w:rsidRDefault="00E81370" w:rsidP="00FA24DA">
      <w:pPr>
        <w:pStyle w:val="FootnoteText"/>
        <w:ind w:firstLine="0"/>
      </w:pPr>
      <w:r w:rsidRPr="00274B60">
        <w:rPr>
          <w:vertAlign w:val="superscript"/>
        </w:rPr>
        <w:footnoteRef/>
      </w:r>
      <w:r w:rsidRPr="000A1D4D">
        <w:t xml:space="preserve"> </w:t>
      </w:r>
      <w:r w:rsidRPr="00F528E6">
        <w:rPr>
          <w:i/>
        </w:rPr>
        <w:t>Id.</w:t>
      </w:r>
    </w:p>
  </w:footnote>
  <w:footnote w:id="149">
    <w:p w14:paraId="1114FFE7" w14:textId="77777777" w:rsidR="00E81370" w:rsidRPr="00016B9E" w:rsidRDefault="00E81370" w:rsidP="00FA24DA">
      <w:pPr>
        <w:pStyle w:val="FootnoteText"/>
        <w:ind w:firstLine="0"/>
      </w:pPr>
      <w:r w:rsidRPr="00AB2860">
        <w:rPr>
          <w:vertAlign w:val="superscript"/>
        </w:rPr>
        <w:footnoteRef/>
      </w:r>
      <w:r w:rsidRPr="00AB2860">
        <w:t xml:space="preserve"> </w:t>
      </w:r>
      <w:r w:rsidRPr="00F528E6">
        <w:rPr>
          <w:i/>
        </w:rPr>
        <w:t>Id.</w:t>
      </w:r>
    </w:p>
  </w:footnote>
  <w:footnote w:id="150">
    <w:p w14:paraId="6DA9FC7C" w14:textId="77777777" w:rsidR="00E81370" w:rsidRPr="001477D5" w:rsidRDefault="00E81370" w:rsidP="00FA24DA">
      <w:pPr>
        <w:pStyle w:val="FootnoteText"/>
        <w:ind w:firstLine="0"/>
      </w:pPr>
      <w:r w:rsidRPr="00121751">
        <w:rPr>
          <w:rStyle w:val="FootnoteReference"/>
        </w:rPr>
        <w:footnoteRef/>
      </w:r>
      <w:r>
        <w:t xml:space="preserve"> </w:t>
      </w:r>
      <w:r w:rsidRPr="00F528E6">
        <w:rPr>
          <w:i/>
        </w:rPr>
        <w:t>Id.</w:t>
      </w:r>
    </w:p>
  </w:footnote>
  <w:footnote w:id="151">
    <w:p w14:paraId="2D480A66" w14:textId="77777777" w:rsidR="00E81370" w:rsidRPr="001477D5" w:rsidRDefault="00E81370" w:rsidP="00FA24DA">
      <w:pPr>
        <w:pStyle w:val="FootnoteText"/>
        <w:ind w:firstLine="0"/>
      </w:pPr>
      <w:r w:rsidRPr="00CF3FEF">
        <w:rPr>
          <w:rStyle w:val="FootnoteReference"/>
        </w:rPr>
        <w:footnoteRef/>
      </w:r>
      <w:r>
        <w:t xml:space="preserve"> </w:t>
      </w:r>
      <w:r>
        <w:rPr>
          <w:i/>
        </w:rPr>
        <w:t>Id</w:t>
      </w:r>
    </w:p>
  </w:footnote>
  <w:footnote w:id="152">
    <w:p w14:paraId="3FC3AD84" w14:textId="77777777" w:rsidR="00E81370" w:rsidRPr="00CE27BB" w:rsidRDefault="00E81370" w:rsidP="00FA24DA">
      <w:pPr>
        <w:pStyle w:val="FootnoteText"/>
        <w:ind w:firstLine="0"/>
        <w:rPr>
          <w:i/>
        </w:rPr>
      </w:pPr>
      <w:r w:rsidRPr="009342B8">
        <w:rPr>
          <w:rStyle w:val="FootnoteReference"/>
        </w:rPr>
        <w:footnoteRef/>
      </w:r>
      <w:r w:rsidRPr="00CE27BB">
        <w:rPr>
          <w:i/>
        </w:rPr>
        <w:t xml:space="preserve"> </w:t>
      </w:r>
      <w:r w:rsidRPr="00F528E6">
        <w:rPr>
          <w:i/>
        </w:rPr>
        <w:t>Id.</w:t>
      </w:r>
      <w:r w:rsidRPr="00CE27BB">
        <w:rPr>
          <w:i/>
        </w:rPr>
        <w:t xml:space="preserve"> </w:t>
      </w:r>
    </w:p>
  </w:footnote>
  <w:footnote w:id="153">
    <w:p w14:paraId="50E47F36" w14:textId="77777777" w:rsidR="00E81370" w:rsidRPr="00AD23D0" w:rsidRDefault="00E81370" w:rsidP="00FA24DA">
      <w:pPr>
        <w:pStyle w:val="FootnoteText"/>
        <w:ind w:firstLine="0"/>
      </w:pPr>
      <w:r w:rsidRPr="009342B8">
        <w:rPr>
          <w:rStyle w:val="FootnoteReference"/>
        </w:rPr>
        <w:footnoteRef/>
      </w:r>
      <w:r w:rsidRPr="00F528E6">
        <w:t xml:space="preserve"> </w:t>
      </w:r>
      <w:r w:rsidRPr="00F528E6">
        <w:rPr>
          <w:i/>
        </w:rPr>
        <w:t>Id.</w:t>
      </w:r>
    </w:p>
  </w:footnote>
  <w:footnote w:id="154">
    <w:p w14:paraId="2A8B92C5" w14:textId="77777777" w:rsidR="00E81370" w:rsidRPr="009B58D9" w:rsidRDefault="00E81370" w:rsidP="006B37DC">
      <w:pPr>
        <w:pStyle w:val="FootnoteText"/>
        <w:ind w:firstLine="0"/>
      </w:pPr>
      <w:r>
        <w:rPr>
          <w:rStyle w:val="FootnoteReference"/>
        </w:rPr>
        <w:footnoteRef/>
      </w:r>
      <w:r>
        <w:t xml:space="preserve"> Ryan Faughnder, </w:t>
      </w:r>
      <w:r w:rsidRPr="0085715A">
        <w:rPr>
          <w:i/>
        </w:rPr>
        <w:t>DreamWorks Animation, Disney Sued Over Alleged No-Poaching Scheme</w:t>
      </w:r>
      <w:r>
        <w:t xml:space="preserve">, LA Times, Sept. 8, 2014, </w:t>
      </w:r>
      <w:r w:rsidRPr="009B58D9">
        <w:t>http://www.latimes.com/entertainment/envelope/cotown/la-et-ct-dwa-disney-sued-poaching-20140908-story.html</w:t>
      </w:r>
      <w:r>
        <w:t>.</w:t>
      </w:r>
    </w:p>
  </w:footnote>
  <w:footnote w:id="155">
    <w:p w14:paraId="478A6177" w14:textId="77777777" w:rsidR="00E81370" w:rsidRPr="00E94FE8" w:rsidRDefault="00E81370" w:rsidP="006B37DC">
      <w:pPr>
        <w:pStyle w:val="FootnoteText"/>
        <w:ind w:firstLine="0"/>
      </w:pPr>
      <w:r>
        <w:rPr>
          <w:rStyle w:val="FootnoteReference"/>
        </w:rPr>
        <w:footnoteRef/>
      </w:r>
      <w:r>
        <w:t xml:space="preserve"> </w:t>
      </w:r>
      <w:r>
        <w:rPr>
          <w:i/>
        </w:rPr>
        <w:t>Id.</w:t>
      </w:r>
    </w:p>
  </w:footnote>
  <w:footnote w:id="156">
    <w:p w14:paraId="22C9DA2A" w14:textId="77777777" w:rsidR="00E81370" w:rsidRPr="00D10E6D" w:rsidRDefault="00E81370" w:rsidP="006B37DC">
      <w:pPr>
        <w:pStyle w:val="FootnoteText"/>
        <w:ind w:firstLine="0"/>
      </w:pPr>
      <w:r>
        <w:rPr>
          <w:rStyle w:val="FootnoteReference"/>
        </w:rPr>
        <w:footnoteRef/>
      </w:r>
      <w:r>
        <w:t xml:space="preserve"> </w:t>
      </w:r>
      <w:r>
        <w:rPr>
          <w:i/>
        </w:rPr>
        <w:t>Id.</w:t>
      </w:r>
      <w:r>
        <w:t xml:space="preserve"> </w:t>
      </w:r>
    </w:p>
  </w:footnote>
  <w:footnote w:id="157">
    <w:p w14:paraId="68F127C9" w14:textId="77777777" w:rsidR="00E81370" w:rsidRPr="00382D98" w:rsidRDefault="00E81370">
      <w:pPr>
        <w:ind w:firstLine="0"/>
        <w:rPr>
          <w:sz w:val="20"/>
          <w:szCs w:val="20"/>
        </w:rPr>
      </w:pPr>
      <w:r w:rsidRPr="00AD23D0">
        <w:rPr>
          <w:sz w:val="20"/>
          <w:szCs w:val="20"/>
          <w:vertAlign w:val="superscript"/>
        </w:rPr>
        <w:footnoteRef/>
      </w:r>
      <w:r w:rsidRPr="00AD23D0">
        <w:rPr>
          <w:sz w:val="20"/>
          <w:szCs w:val="20"/>
        </w:rPr>
        <w:t xml:space="preserve"> </w:t>
      </w:r>
      <w:hyperlink r:id="rId15" w:history="1">
        <w:r w:rsidRPr="00AD23D0">
          <w:rPr>
            <w:rStyle w:val="Hyperlink1"/>
          </w:rPr>
          <w:t>Boyce v. Smith-Edwards-Dunlap Co. v. Franklin Printing Co., 580 A.2d 1382, 1390 (Pa. Super. Ct. 1990)</w:t>
        </w:r>
      </w:hyperlink>
      <w:r w:rsidRPr="00AD23D0">
        <w:rPr>
          <w:sz w:val="20"/>
          <w:szCs w:val="20"/>
        </w:rPr>
        <w:t xml:space="preserve">. </w:t>
      </w:r>
    </w:p>
  </w:footnote>
  <w:footnote w:id="158">
    <w:p w14:paraId="06903CD0" w14:textId="77777777" w:rsidR="00E81370" w:rsidRPr="00AD23D0" w:rsidRDefault="00E81370" w:rsidP="003263A0">
      <w:pPr>
        <w:pStyle w:val="FootnoteText"/>
        <w:ind w:firstLine="0"/>
      </w:pPr>
      <w:r w:rsidRPr="00CE27BB">
        <w:rPr>
          <w:rStyle w:val="FootnoteReference"/>
        </w:rPr>
        <w:footnoteRef/>
      </w:r>
      <w:r w:rsidRPr="00CE27BB">
        <w:t xml:space="preserve"> </w:t>
      </w:r>
      <w:r w:rsidRPr="00CE27BB">
        <w:rPr>
          <w:color w:val="auto"/>
        </w:rPr>
        <w:t xml:space="preserve">Bruce Fallick et al., </w:t>
      </w:r>
      <w:r w:rsidRPr="00CE27BB">
        <w:rPr>
          <w:i/>
          <w:iCs/>
          <w:color w:val="auto"/>
        </w:rPr>
        <w:t>Job-Hopping in Silicon Valley: Some Evidence Concerning the Microfoundations of a High-Technology Cluster</w:t>
      </w:r>
      <w:r w:rsidRPr="00CE27BB">
        <w:rPr>
          <w:color w:val="auto"/>
        </w:rPr>
        <w:t xml:space="preserve">, 88 </w:t>
      </w:r>
      <w:r w:rsidRPr="00CE27BB">
        <w:rPr>
          <w:smallCaps/>
          <w:color w:val="auto"/>
        </w:rPr>
        <w:t xml:space="preserve">Rev.  Econ.  &amp; Stats.  </w:t>
      </w:r>
      <w:r w:rsidRPr="00CE27BB">
        <w:rPr>
          <w:color w:val="auto"/>
        </w:rPr>
        <w:t xml:space="preserve">472, 478 (2006); Lee Fleming &amp; Matt Marx, </w:t>
      </w:r>
      <w:r w:rsidRPr="00CE27BB">
        <w:rPr>
          <w:i/>
          <w:iCs/>
          <w:color w:val="auto"/>
        </w:rPr>
        <w:t>Managing Creativity in Small Worlds</w:t>
      </w:r>
      <w:r w:rsidRPr="00CE27BB">
        <w:rPr>
          <w:color w:val="auto"/>
        </w:rPr>
        <w:t xml:space="preserve">, 48 </w:t>
      </w:r>
      <w:r w:rsidRPr="00CE27BB">
        <w:rPr>
          <w:smallCaps/>
          <w:color w:val="auto"/>
        </w:rPr>
        <w:t>Cal.  Mgmt.  Rev.</w:t>
      </w:r>
      <w:r w:rsidRPr="00CE27BB">
        <w:rPr>
          <w:color w:val="auto"/>
        </w:rPr>
        <w:t>, at 6, 15 (Summer 2006).</w:t>
      </w:r>
    </w:p>
  </w:footnote>
  <w:footnote w:id="159">
    <w:p w14:paraId="6635DE32" w14:textId="2513319F" w:rsidR="00E81370" w:rsidRPr="00382D98" w:rsidRDefault="00E81370" w:rsidP="006B37DC">
      <w:pPr>
        <w:ind w:firstLine="0"/>
      </w:pPr>
      <w:r w:rsidRPr="00CE27BB">
        <w:rPr>
          <w:rStyle w:val="FootnoteReference"/>
          <w:sz w:val="20"/>
          <w:szCs w:val="20"/>
        </w:rPr>
        <w:footnoteRef/>
      </w:r>
      <w:r w:rsidRPr="00CE27BB">
        <w:rPr>
          <w:sz w:val="20"/>
          <w:szCs w:val="20"/>
        </w:rPr>
        <w:t xml:space="preserve"> </w:t>
      </w:r>
      <w:r>
        <w:rPr>
          <w:sz w:val="20"/>
          <w:szCs w:val="20"/>
        </w:rPr>
        <w:t xml:space="preserve">Assistant General Attorney Bill Baer Remarks </w:t>
      </w:r>
      <w:r w:rsidRPr="00CE27BB">
        <w:rPr>
          <w:rFonts w:hAnsi="Times New Roman" w:cs="Times New Roman"/>
          <w:i/>
          <w:sz w:val="20"/>
          <w:szCs w:val="20"/>
        </w:rPr>
        <w:t>supra</w:t>
      </w:r>
      <w:r>
        <w:rPr>
          <w:rFonts w:hAnsi="Times New Roman" w:cs="Times New Roman"/>
          <w:sz w:val="20"/>
          <w:szCs w:val="20"/>
        </w:rPr>
        <w:t xml:space="preserve"> note</w:t>
      </w:r>
      <w:r w:rsidRPr="00CE27BB">
        <w:rPr>
          <w:rFonts w:hAnsi="Times New Roman" w:cs="Times New Roman"/>
          <w:sz w:val="20"/>
          <w:szCs w:val="20"/>
        </w:rPr>
        <w:t xml:space="preserve"> </w:t>
      </w:r>
      <w:r w:rsidRPr="00CE27BB">
        <w:rPr>
          <w:rFonts w:hAnsi="Times New Roman" w:cs="Times New Roman"/>
          <w:sz w:val="20"/>
          <w:szCs w:val="20"/>
        </w:rPr>
        <w:fldChar w:fldCharType="begin"/>
      </w:r>
      <w:r w:rsidRPr="00CE27BB">
        <w:rPr>
          <w:rFonts w:hAnsi="Times New Roman" w:cs="Times New Roman"/>
          <w:sz w:val="20"/>
          <w:szCs w:val="20"/>
        </w:rPr>
        <w:instrText xml:space="preserve"> NOTEREF _Ref266019008 \h </w:instrText>
      </w:r>
      <w:r w:rsidRPr="00CE27BB">
        <w:rPr>
          <w:rFonts w:hAnsi="Times New Roman" w:cs="Times New Roman"/>
          <w:sz w:val="20"/>
          <w:szCs w:val="20"/>
        </w:rPr>
      </w:r>
      <w:r w:rsidRPr="00CE27BB">
        <w:rPr>
          <w:rFonts w:hAnsi="Times New Roman" w:cs="Times New Roman"/>
          <w:sz w:val="20"/>
          <w:szCs w:val="20"/>
        </w:rPr>
        <w:fldChar w:fldCharType="separate"/>
      </w:r>
      <w:r w:rsidR="0039144E">
        <w:rPr>
          <w:rFonts w:hAnsi="Times New Roman" w:cs="Times New Roman"/>
          <w:sz w:val="20"/>
          <w:szCs w:val="20"/>
        </w:rPr>
        <w:t>142</w:t>
      </w:r>
      <w:r w:rsidRPr="00CE27BB">
        <w:rPr>
          <w:rFonts w:hAnsi="Times New Roman" w:cs="Times New Roman"/>
          <w:sz w:val="20"/>
          <w:szCs w:val="20"/>
        </w:rPr>
        <w:fldChar w:fldCharType="end"/>
      </w:r>
      <w:r>
        <w:rPr>
          <w:rFonts w:hAnsi="Times New Roman" w:cs="Times New Roman"/>
          <w:sz w:val="20"/>
          <w:szCs w:val="20"/>
        </w:rPr>
        <w:t xml:space="preserve">. </w:t>
      </w:r>
    </w:p>
  </w:footnote>
  <w:footnote w:id="160">
    <w:p w14:paraId="3B9A226B" w14:textId="77777777" w:rsidR="00E81370" w:rsidRPr="001477D5" w:rsidRDefault="00E81370" w:rsidP="00215B47">
      <w:pPr>
        <w:pStyle w:val="FootnoteText"/>
        <w:ind w:firstLine="0"/>
      </w:pPr>
      <w:r w:rsidRPr="00ED77D7">
        <w:rPr>
          <w:rStyle w:val="FootnoteReference"/>
        </w:rPr>
        <w:footnoteRef/>
      </w:r>
      <w:r w:rsidRPr="00ED77D7">
        <w:t xml:space="preserve">Steven Levy, </w:t>
      </w:r>
      <w:r w:rsidRPr="00ED77D7">
        <w:rPr>
          <w:i/>
        </w:rPr>
        <w:t>Lawrence Lessig Supreme Showdown</w:t>
      </w:r>
      <w:r w:rsidRPr="00ED77D7">
        <w:t>, Wired. June 2002. http://archive.wired.com/wired/archive/10.10/lessig pr.ht</w:t>
      </w:r>
      <w:r w:rsidRPr="001477D5">
        <w:t>ml</w:t>
      </w:r>
    </w:p>
  </w:footnote>
  <w:footnote w:id="161">
    <w:p w14:paraId="23273F2F" w14:textId="77777777" w:rsidR="00E81370" w:rsidRDefault="00E81370" w:rsidP="00FA24DA">
      <w:pPr>
        <w:pStyle w:val="FootnoteText"/>
        <w:ind w:firstLine="0"/>
      </w:pPr>
      <w:r>
        <w:rPr>
          <w:rStyle w:val="FootnoteReference"/>
        </w:rPr>
        <w:footnoteRef/>
      </w:r>
      <w:r>
        <w:t xml:space="preserve"> </w:t>
      </w:r>
      <w:r w:rsidRPr="00B20765">
        <w:rPr>
          <w:rFonts w:eastAsia="Arial Unicode MS" w:hAnsi="Arial Unicode MS" w:cs="Arial Unicode MS"/>
          <w:i/>
          <w:iCs/>
          <w:sz w:val="24"/>
          <w:szCs w:val="24"/>
        </w:rPr>
        <w:t>Id</w:t>
      </w:r>
      <w:r w:rsidRPr="008C12D7">
        <w:t>.</w:t>
      </w:r>
    </w:p>
  </w:footnote>
  <w:footnote w:id="162">
    <w:p w14:paraId="33AFBF86" w14:textId="77777777" w:rsidR="00E81370" w:rsidRDefault="00E81370" w:rsidP="00ED77D7">
      <w:pPr>
        <w:pStyle w:val="FootnoteText"/>
        <w:ind w:firstLine="0"/>
      </w:pPr>
      <w:r>
        <w:rPr>
          <w:rStyle w:val="FootnoteReference"/>
        </w:rPr>
        <w:footnoteRef/>
      </w:r>
      <w:r>
        <w:t xml:space="preserve"> </w:t>
      </w:r>
      <w:r w:rsidRPr="00993389">
        <w:rPr>
          <w:color w:val="auto"/>
        </w:rPr>
        <w:t xml:space="preserve">Orly Lobel, </w:t>
      </w:r>
      <w:r w:rsidRPr="00993389">
        <w:rPr>
          <w:bCs/>
          <w:i/>
          <w:color w:val="auto"/>
        </w:rPr>
        <w:t xml:space="preserve">Suppressing Mobility Suppresses Innovation, </w:t>
      </w:r>
      <w:r w:rsidRPr="009342B8">
        <w:rPr>
          <w:bCs/>
          <w:smallCaps/>
          <w:color w:val="auto"/>
        </w:rPr>
        <w:t>N.Y. Times</w:t>
      </w:r>
      <w:r w:rsidRPr="009342B8">
        <w:rPr>
          <w:bCs/>
          <w:color w:val="auto"/>
        </w:rPr>
        <w:t>. June 11, 2014</w:t>
      </w:r>
      <w:r w:rsidRPr="00993389">
        <w:rPr>
          <w:bCs/>
          <w:i/>
          <w:color w:val="auto"/>
        </w:rPr>
        <w:t>.</w:t>
      </w:r>
    </w:p>
  </w:footnote>
  <w:footnote w:id="163">
    <w:p w14:paraId="78533C29" w14:textId="77777777" w:rsidR="00E81370" w:rsidRDefault="00E81370" w:rsidP="001222D5">
      <w:pPr>
        <w:pStyle w:val="FootnoteText"/>
        <w:ind w:firstLine="0"/>
      </w:pPr>
      <w:r>
        <w:rPr>
          <w:rStyle w:val="FootnoteReference"/>
        </w:rPr>
        <w:footnoteRef/>
      </w:r>
      <w:r>
        <w:t xml:space="preserve"> Robert K. Merton, On the Shoulders of Giants 31 (1965). </w:t>
      </w:r>
    </w:p>
  </w:footnote>
  <w:footnote w:id="164">
    <w:p w14:paraId="2C37F1D9" w14:textId="77777777" w:rsidR="00E81370" w:rsidRPr="00016B9E" w:rsidRDefault="00E81370" w:rsidP="00941BD1">
      <w:pPr>
        <w:pStyle w:val="FootnoteText"/>
        <w:ind w:firstLine="0"/>
      </w:pPr>
      <w:r w:rsidRPr="00016B9E">
        <w:rPr>
          <w:vertAlign w:val="superscript"/>
        </w:rPr>
        <w:footnoteRef/>
      </w:r>
      <w:r>
        <w:rPr>
          <w:smallCaps/>
        </w:rPr>
        <w:t xml:space="preserve"> </w:t>
      </w:r>
      <w:r w:rsidRPr="009342B8">
        <w:rPr>
          <w:smallCaps/>
        </w:rPr>
        <w:t>Charlotte Hess &amp; Elinor Ostrom, Understanding the Knowledge Commons</w:t>
      </w:r>
      <w:r w:rsidRPr="00016B9E">
        <w:t xml:space="preserve"> (2006).</w:t>
      </w:r>
    </w:p>
  </w:footnote>
  <w:footnote w:id="165">
    <w:p w14:paraId="7945DC88" w14:textId="77777777" w:rsidR="00E81370" w:rsidRPr="00016B9E" w:rsidRDefault="00E81370" w:rsidP="00941BD1">
      <w:pPr>
        <w:pStyle w:val="FootnoteText"/>
        <w:ind w:firstLine="0"/>
      </w:pPr>
      <w:r w:rsidRPr="00016B9E">
        <w:rPr>
          <w:vertAlign w:val="superscript"/>
        </w:rPr>
        <w:footnoteRef/>
      </w:r>
      <w:r w:rsidRPr="00016B9E">
        <w:t xml:space="preserve"> F. Machlup, </w:t>
      </w:r>
      <w:r w:rsidRPr="00016B9E">
        <w:rPr>
          <w:i/>
          <w:iCs/>
        </w:rPr>
        <w:t>Semantic Quirks in Studies of Information</w:t>
      </w:r>
      <w:r w:rsidRPr="00016B9E">
        <w:t xml:space="preserve">, </w:t>
      </w:r>
      <w:r w:rsidRPr="00016B9E">
        <w:rPr>
          <w:i/>
          <w:iCs/>
        </w:rPr>
        <w:t xml:space="preserve">in </w:t>
      </w:r>
      <w:r w:rsidRPr="00016B9E">
        <w:rPr>
          <w:smallCaps/>
        </w:rPr>
        <w:t>The Study of Information: Interdisciplinary Messages</w:t>
      </w:r>
      <w:r w:rsidRPr="00016B9E">
        <w:t xml:space="preserve"> (F. Machlup and U. Machlup eds., 1983).</w:t>
      </w:r>
    </w:p>
  </w:footnote>
  <w:footnote w:id="166">
    <w:p w14:paraId="082A5149" w14:textId="77777777" w:rsidR="00E81370" w:rsidRPr="00016B9E" w:rsidRDefault="00E81370" w:rsidP="00941BD1">
      <w:pPr>
        <w:pStyle w:val="FootnoteText"/>
        <w:ind w:firstLine="0"/>
      </w:pPr>
      <w:r w:rsidRPr="00016B9E">
        <w:rPr>
          <w:vertAlign w:val="superscript"/>
        </w:rPr>
        <w:footnoteRef/>
      </w:r>
      <w:r w:rsidRPr="00016B9E">
        <w:t xml:space="preserve"> Michael Polanyi</w:t>
      </w:r>
      <w:r w:rsidRPr="00016B9E">
        <w:rPr>
          <w:smallCaps/>
        </w:rPr>
        <w:t xml:space="preserve">, </w:t>
      </w:r>
      <w:r w:rsidRPr="00016B9E">
        <w:t>Personal Knowledge: Towards a Post-Critical Philosophy (1958).</w:t>
      </w:r>
    </w:p>
  </w:footnote>
  <w:footnote w:id="167">
    <w:p w14:paraId="5A7D0501" w14:textId="77777777" w:rsidR="00E81370" w:rsidRPr="00820E3D" w:rsidRDefault="00E81370" w:rsidP="00941BD1">
      <w:pPr>
        <w:pStyle w:val="FootnoteText"/>
        <w:ind w:firstLine="0"/>
      </w:pPr>
      <w:r w:rsidRPr="00C101BA">
        <w:rPr>
          <w:vertAlign w:val="superscript"/>
        </w:rPr>
        <w:footnoteRef/>
      </w:r>
      <w:r w:rsidRPr="00D65C09">
        <w:t xml:space="preserve"> Jerome Reichman</w:t>
      </w:r>
      <w:r>
        <w:t xml:space="preserve"> </w:t>
      </w:r>
      <w:r w:rsidRPr="00D65C09">
        <w:t xml:space="preserve">&amp; Jonathan Franklin, </w:t>
      </w:r>
      <w:r w:rsidRPr="00D65C09">
        <w:rPr>
          <w:i/>
          <w:iCs/>
        </w:rPr>
        <w:t>Privately Legislated Intellectual Property Rights</w:t>
      </w:r>
      <w:r w:rsidRPr="00E76FCE">
        <w:rPr>
          <w:i/>
          <w:iCs/>
        </w:rPr>
        <w:t>”</w:t>
      </w:r>
      <w:r>
        <w:rPr>
          <w:i/>
          <w:iCs/>
        </w:rPr>
        <w:t xml:space="preserve"> </w:t>
      </w:r>
      <w:r w:rsidRPr="00C101BA">
        <w:rPr>
          <w:i/>
          <w:iCs/>
        </w:rPr>
        <w:t>Reconciling Freedom of Contract with Public Good Uses of Information</w:t>
      </w:r>
      <w:r w:rsidRPr="00D65C09">
        <w:t xml:space="preserve">, 147 </w:t>
      </w:r>
      <w:r w:rsidRPr="00501C9D">
        <w:rPr>
          <w:smallCaps/>
        </w:rPr>
        <w:t>U. Pa. L. Rev.</w:t>
      </w:r>
      <w:r w:rsidRPr="00820E3D">
        <w:t xml:space="preserve"> 875-970 (1999).</w:t>
      </w:r>
    </w:p>
  </w:footnote>
  <w:footnote w:id="168">
    <w:p w14:paraId="0935ED01" w14:textId="77777777" w:rsidR="00E81370" w:rsidRPr="00BC2A3D" w:rsidRDefault="00E81370" w:rsidP="00DD4A6B">
      <w:pPr>
        <w:pStyle w:val="FootnoteText"/>
        <w:ind w:firstLine="0"/>
      </w:pPr>
      <w:r w:rsidRPr="00820E3D">
        <w:rPr>
          <w:rStyle w:val="FootnoteReference"/>
        </w:rPr>
        <w:footnoteRef/>
      </w:r>
      <w:r w:rsidRPr="00E76FCE">
        <w:t>Pankaj</w:t>
      </w:r>
      <w:r>
        <w:t xml:space="preserve"> </w:t>
      </w:r>
      <w:r w:rsidRPr="002B1A59">
        <w:t>Ghemawat (March/April 2007) "Why the World Isn't Flat" Foreign</w:t>
      </w:r>
      <w:r w:rsidRPr="00BC2A3D">
        <w:t xml:space="preserve"> Policy.</w:t>
      </w:r>
    </w:p>
  </w:footnote>
  <w:footnote w:id="169">
    <w:p w14:paraId="74D1F994" w14:textId="77777777" w:rsidR="00E81370" w:rsidRPr="00C101BA" w:rsidRDefault="00E81370" w:rsidP="004A1FAE">
      <w:pPr>
        <w:pStyle w:val="FootnoteText"/>
        <w:ind w:firstLine="0"/>
      </w:pPr>
      <w:r w:rsidRPr="00820E3D">
        <w:rPr>
          <w:vertAlign w:val="superscript"/>
        </w:rPr>
        <w:footnoteRef/>
      </w:r>
      <w:r w:rsidRPr="00820E3D">
        <w:t xml:space="preserve"> Ajay Agrawal, I. Cockburn &amp; John McHale, </w:t>
      </w:r>
      <w:r w:rsidRPr="00E76FCE">
        <w:rPr>
          <w:i/>
          <w:iCs/>
        </w:rPr>
        <w:t>Gone but Not Forgotten: Knowledge Flows, Labor Mobility, and Enduring Social Relationships</w:t>
      </w:r>
      <w:r w:rsidRPr="00E76FCE">
        <w:t xml:space="preserve">, 6 </w:t>
      </w:r>
      <w:r w:rsidRPr="00E76FCE">
        <w:rPr>
          <w:smallCaps/>
        </w:rPr>
        <w:t>J. of Econ. Geography</w:t>
      </w:r>
      <w:r w:rsidRPr="00E76FCE">
        <w:t xml:space="preserve"> 571 (2006); Peter Thompson &amp; Melanie Fox-Kean, </w:t>
      </w:r>
      <w:r w:rsidRPr="00E76FCE">
        <w:rPr>
          <w:i/>
          <w:iCs/>
        </w:rPr>
        <w:t>Patent Citations and the Geography of Knowledge Spillovers: A Reassessment</w:t>
      </w:r>
      <w:r w:rsidRPr="00E76FCE">
        <w:t xml:space="preserve">, 95 </w:t>
      </w:r>
      <w:r w:rsidRPr="00E76FCE">
        <w:rPr>
          <w:smallCaps/>
        </w:rPr>
        <w:t>Am. Econ. Rev</w:t>
      </w:r>
      <w:r w:rsidRPr="00E76FCE">
        <w:t>. 450-460 (2005).</w:t>
      </w:r>
    </w:p>
  </w:footnote>
  <w:footnote w:id="170">
    <w:p w14:paraId="3660A824" w14:textId="77777777" w:rsidR="00E81370" w:rsidRPr="00C101BA" w:rsidRDefault="00E81370" w:rsidP="00607F9A">
      <w:pPr>
        <w:pStyle w:val="FootnoteText"/>
        <w:ind w:firstLine="0"/>
      </w:pPr>
      <w:r w:rsidRPr="00E76FCE">
        <w:rPr>
          <w:vertAlign w:val="superscript"/>
        </w:rPr>
        <w:footnoteRef/>
      </w:r>
      <w:r>
        <w:t xml:space="preserve"> </w:t>
      </w:r>
      <w:r w:rsidRPr="00E76FCE">
        <w:t>Paul Krugman, Geography and Trade (1992).</w:t>
      </w:r>
    </w:p>
  </w:footnote>
  <w:footnote w:id="171">
    <w:p w14:paraId="351F2CD8" w14:textId="77777777" w:rsidR="00E81370" w:rsidRPr="00C101BA" w:rsidRDefault="00E81370" w:rsidP="004A1FAE">
      <w:pPr>
        <w:pStyle w:val="FootnoteText"/>
        <w:ind w:firstLine="0"/>
      </w:pPr>
      <w:r w:rsidRPr="00E76FCE">
        <w:rPr>
          <w:vertAlign w:val="superscript"/>
        </w:rPr>
        <w:footnoteRef/>
      </w:r>
      <w:r w:rsidRPr="00E76FCE">
        <w:t xml:space="preserve"> Adam B. Jaffe et al., </w:t>
      </w:r>
      <w:r w:rsidRPr="00E76FCE">
        <w:rPr>
          <w:i/>
          <w:iCs/>
        </w:rPr>
        <w:t>Geography Localization of Knowledge Spillovers as Evidence by Patent Citations</w:t>
      </w:r>
      <w:r w:rsidRPr="00E76FCE">
        <w:t xml:space="preserve">, 108 </w:t>
      </w:r>
      <w:r w:rsidRPr="00E76FCE">
        <w:rPr>
          <w:smallCaps/>
        </w:rPr>
        <w:t>Q. J. of Econ</w:t>
      </w:r>
      <w:r w:rsidRPr="00E76FCE">
        <w:t xml:space="preserve">. 577 (1993); Paul Almeida &amp; Bruce Kogut, </w:t>
      </w:r>
      <w:r w:rsidRPr="00E76FCE">
        <w:rPr>
          <w:i/>
          <w:iCs/>
        </w:rPr>
        <w:t>Localization of Knowledge and Mobility of Engineers in Regional Networks</w:t>
      </w:r>
      <w:r w:rsidRPr="00E76FCE">
        <w:t xml:space="preserve">, 45 </w:t>
      </w:r>
      <w:r w:rsidRPr="00E76FCE">
        <w:rPr>
          <w:smallCaps/>
        </w:rPr>
        <w:t>Mgmt. Sci.</w:t>
      </w:r>
      <w:r w:rsidRPr="00E76FCE">
        <w:t xml:space="preserve"> 905-917 (1999).</w:t>
      </w:r>
    </w:p>
  </w:footnote>
  <w:footnote w:id="172">
    <w:p w14:paraId="0808240D" w14:textId="77777777" w:rsidR="00E81370" w:rsidRDefault="00E81370" w:rsidP="00FA24DA">
      <w:pPr>
        <w:pStyle w:val="FootnoteText"/>
        <w:ind w:firstLine="0"/>
      </w:pPr>
      <w:r>
        <w:rPr>
          <w:rStyle w:val="FootnoteReference"/>
        </w:rPr>
        <w:footnoteRef/>
      </w:r>
      <w:r>
        <w:t xml:space="preserve"> Polanyi, </w:t>
      </w:r>
      <w:r w:rsidRPr="009A2AD4">
        <w:rPr>
          <w:i/>
          <w:iCs/>
        </w:rPr>
        <w:t>supra</w:t>
      </w:r>
      <w:r>
        <w:t xml:space="preserve"> note </w:t>
      </w:r>
      <w:r>
        <w:fldChar w:fldCharType="begin"/>
      </w:r>
      <w:r>
        <w:instrText xml:space="preserve"> NOTEREF _Ref266780263 \h </w:instrText>
      </w:r>
      <w:r>
        <w:fldChar w:fldCharType="separate"/>
      </w:r>
      <w:r w:rsidR="0039144E">
        <w:t>164</w:t>
      </w:r>
      <w:r>
        <w:fldChar w:fldCharType="end"/>
      </w:r>
      <w:r>
        <w:t>.</w:t>
      </w:r>
    </w:p>
  </w:footnote>
  <w:footnote w:id="173">
    <w:p w14:paraId="3B5BC86F" w14:textId="77777777" w:rsidR="00E81370" w:rsidRDefault="00E81370" w:rsidP="00CE0DE6">
      <w:pPr>
        <w:pStyle w:val="FootnoteText"/>
        <w:ind w:firstLine="0"/>
      </w:pPr>
      <w:r>
        <w:rPr>
          <w:rStyle w:val="FootnoteReference"/>
        </w:rPr>
        <w:footnoteRef/>
      </w:r>
      <w:r w:rsidRPr="00C101BA">
        <w:t xml:space="preserve">Peter Lee, </w:t>
      </w:r>
      <w:r w:rsidRPr="00D65C09">
        <w:rPr>
          <w:i/>
        </w:rPr>
        <w:t xml:space="preserve">Transcending the Tacit Dimension: Patents, Relationships, and Organizational Integration in Technology </w:t>
      </w:r>
      <w:r w:rsidRPr="00501C9D">
        <w:t xml:space="preserve">Transfer, </w:t>
      </w:r>
      <w:r w:rsidRPr="002B1A59">
        <w:rPr>
          <w:color w:val="252525"/>
          <w:bdr w:val="none" w:sz="0" w:space="0" w:color="auto"/>
          <w:lang w:bidi="he-IL"/>
        </w:rPr>
        <w:t xml:space="preserve">100 </w:t>
      </w:r>
      <w:r w:rsidRPr="00BC2A3D">
        <w:rPr>
          <w:smallCaps/>
          <w:color w:val="252525"/>
          <w:bdr w:val="none" w:sz="0" w:space="0" w:color="auto"/>
          <w:lang w:bidi="he-IL"/>
        </w:rPr>
        <w:t xml:space="preserve">Calif. L. Rev. </w:t>
      </w:r>
      <w:r w:rsidRPr="00BC2A3D">
        <w:rPr>
          <w:color w:val="252525"/>
          <w:bdr w:val="none" w:sz="0" w:space="0" w:color="auto"/>
          <w:lang w:bidi="he-IL"/>
        </w:rPr>
        <w:t>1503 (2012).</w:t>
      </w:r>
    </w:p>
  </w:footnote>
  <w:footnote w:id="174">
    <w:p w14:paraId="4B252FA0" w14:textId="77777777" w:rsidR="00E81370" w:rsidRPr="00C101BA" w:rsidRDefault="00E81370">
      <w:pPr>
        <w:pStyle w:val="FootnoteText"/>
        <w:ind w:firstLine="0"/>
      </w:pPr>
      <w:r w:rsidRPr="00C101BA">
        <w:rPr>
          <w:vertAlign w:val="superscript"/>
        </w:rPr>
        <w:footnoteRef/>
      </w:r>
      <w:r w:rsidRPr="00D65C09">
        <w:t xml:space="preserve"> Ajay Agrawal, </w:t>
      </w:r>
      <w:r w:rsidRPr="00501C9D">
        <w:rPr>
          <w:i/>
          <w:iCs/>
        </w:rPr>
        <w:t>Engaging the Inventor: Exploring Licensing Strategies for University Inventions and the Role of Latent Knowledge</w:t>
      </w:r>
      <w:r w:rsidRPr="00820E3D">
        <w:t xml:space="preserve">, 27 </w:t>
      </w:r>
      <w:r w:rsidRPr="00820E3D">
        <w:rPr>
          <w:smallCaps/>
        </w:rPr>
        <w:t>Strategic Mgmt. J.</w:t>
      </w:r>
      <w:r w:rsidRPr="00820E3D">
        <w:t xml:space="preserve"> 63-79 (2006).</w:t>
      </w:r>
    </w:p>
  </w:footnote>
  <w:footnote w:id="175">
    <w:p w14:paraId="6CA0FD24" w14:textId="77777777" w:rsidR="00E81370" w:rsidRDefault="00E81370" w:rsidP="009A2AD4">
      <w:pPr>
        <w:pStyle w:val="FootnoteText"/>
        <w:ind w:firstLine="0"/>
      </w:pPr>
      <w:r>
        <w:rPr>
          <w:rStyle w:val="FootnoteReference"/>
        </w:rPr>
        <w:footnoteRef/>
      </w:r>
      <w:r>
        <w:t xml:space="preserve"> </w:t>
      </w:r>
      <w:r w:rsidRPr="00C101BA">
        <w:t xml:space="preserve">Kenneth J.  Arrow, </w:t>
      </w:r>
      <w:r w:rsidRPr="00C101BA">
        <w:rPr>
          <w:i/>
          <w:iCs/>
        </w:rPr>
        <w:t>The Economic Implications of Learning by Doing</w:t>
      </w:r>
      <w:r w:rsidRPr="00C101BA">
        <w:t xml:space="preserve">, 3 </w:t>
      </w:r>
      <w:r w:rsidRPr="00C101BA">
        <w:rPr>
          <w:smallCaps/>
        </w:rPr>
        <w:t>Rev. of Econ. Studies</w:t>
      </w:r>
      <w:r w:rsidRPr="00C101BA">
        <w:t xml:space="preserve"> 29, 155</w:t>
      </w:r>
      <w:r w:rsidRPr="00E76FCE">
        <w:t>–</w:t>
      </w:r>
      <w:r w:rsidRPr="00322752">
        <w:t>73 (1962); Kenneth J.</w:t>
      </w:r>
      <w:r>
        <w:t xml:space="preserve"> </w:t>
      </w:r>
      <w:r w:rsidRPr="00322752">
        <w:t xml:space="preserve">Arrow, </w:t>
      </w:r>
      <w:r w:rsidRPr="00C101BA">
        <w:rPr>
          <w:i/>
          <w:iCs/>
        </w:rPr>
        <w:t>Collected Papers of Kenneth J.</w:t>
      </w:r>
      <w:r>
        <w:rPr>
          <w:i/>
          <w:iCs/>
        </w:rPr>
        <w:t xml:space="preserve"> </w:t>
      </w:r>
      <w:r w:rsidRPr="00C101BA">
        <w:rPr>
          <w:i/>
          <w:iCs/>
        </w:rPr>
        <w:t>Arrow: The Economics of Information</w:t>
      </w:r>
      <w:r w:rsidRPr="00820E3D">
        <w:t xml:space="preserve"> (Massachusetts: Harvard University Press 1984).</w:t>
      </w:r>
    </w:p>
  </w:footnote>
  <w:footnote w:id="176">
    <w:p w14:paraId="771C3D1E" w14:textId="77777777" w:rsidR="00E81370" w:rsidRDefault="00E81370" w:rsidP="00231B8E">
      <w:pPr>
        <w:pStyle w:val="FootnoteText"/>
        <w:ind w:firstLine="0"/>
      </w:pPr>
      <w:r w:rsidRPr="00E76FCE">
        <w:rPr>
          <w:rStyle w:val="FootnoteReference"/>
        </w:rPr>
        <w:footnoteRef/>
      </w:r>
      <w:r>
        <w:rPr>
          <w:color w:val="auto"/>
        </w:rPr>
        <w:t xml:space="preserve"> </w:t>
      </w:r>
      <w:r w:rsidRPr="00E76FCE">
        <w:rPr>
          <w:color w:val="auto"/>
        </w:rPr>
        <w:t>Dan L. Burk,</w:t>
      </w:r>
      <w:r w:rsidRPr="00E76FCE">
        <w:rPr>
          <w:rStyle w:val="apple-converted-space"/>
          <w:color w:val="auto"/>
        </w:rPr>
        <w:t> </w:t>
      </w:r>
      <w:hyperlink r:id="rId16" w:anchor="co_pp_sp_111090_1013" w:history="1">
        <w:r w:rsidRPr="00EE09BC">
          <w:rPr>
            <w:rStyle w:val="Hyperlink"/>
            <w:i/>
            <w:color w:val="auto"/>
            <w:u w:val="none"/>
          </w:rPr>
          <w:t>The Role of Patent Law in</w:t>
        </w:r>
        <w:r w:rsidRPr="00EE09BC">
          <w:rPr>
            <w:rStyle w:val="apple-converted-space"/>
            <w:i/>
            <w:color w:val="auto"/>
          </w:rPr>
          <w:t> </w:t>
        </w:r>
        <w:r w:rsidRPr="00EE09BC">
          <w:rPr>
            <w:rStyle w:val="cosearchterm"/>
            <w:bCs/>
            <w:i/>
            <w:color w:val="auto"/>
          </w:rPr>
          <w:t>Knowledge</w:t>
        </w:r>
        <w:r w:rsidRPr="00EE09BC">
          <w:rPr>
            <w:rStyle w:val="apple-converted-space"/>
            <w:i/>
            <w:color w:val="auto"/>
          </w:rPr>
          <w:t> </w:t>
        </w:r>
        <w:r w:rsidRPr="00EE09BC">
          <w:rPr>
            <w:rStyle w:val="Hyperlink"/>
            <w:i/>
            <w:color w:val="auto"/>
            <w:u w:val="none"/>
          </w:rPr>
          <w:t>Codification</w:t>
        </w:r>
        <w:r w:rsidRPr="00333A78">
          <w:rPr>
            <w:rStyle w:val="Hyperlink"/>
            <w:color w:val="auto"/>
            <w:u w:val="none"/>
          </w:rPr>
          <w:t xml:space="preserve">, 23 </w:t>
        </w:r>
        <w:r w:rsidRPr="009342B8">
          <w:rPr>
            <w:rStyle w:val="Hyperlink"/>
            <w:smallCaps/>
            <w:color w:val="auto"/>
            <w:u w:val="none"/>
          </w:rPr>
          <w:t>Berkeley Tech. L.J.</w:t>
        </w:r>
        <w:r w:rsidRPr="00333A78">
          <w:rPr>
            <w:rStyle w:val="Hyperlink"/>
            <w:color w:val="auto"/>
            <w:u w:val="none"/>
          </w:rPr>
          <w:t xml:space="preserve"> 1009, 1013 (2008)</w:t>
        </w:r>
      </w:hyperlink>
      <w:r w:rsidRPr="00E00B5B">
        <w:rPr>
          <w:rStyle w:val="Hyperlink"/>
          <w:color w:val="auto"/>
          <w:u w:val="none"/>
        </w:rPr>
        <w:t>.</w:t>
      </w:r>
    </w:p>
  </w:footnote>
  <w:footnote w:id="177">
    <w:p w14:paraId="1161AF99" w14:textId="77777777" w:rsidR="00E81370" w:rsidRPr="00322752" w:rsidRDefault="00E81370" w:rsidP="007F005D">
      <w:pPr>
        <w:pStyle w:val="FootnoteText"/>
        <w:ind w:firstLine="0"/>
      </w:pPr>
      <w:r w:rsidRPr="00820E3D">
        <w:rPr>
          <w:vertAlign w:val="superscript"/>
        </w:rPr>
        <w:footnoteRef/>
      </w:r>
      <w:r>
        <w:t xml:space="preserve"> </w:t>
      </w:r>
      <w:r w:rsidRPr="009342B8">
        <w:rPr>
          <w:smallCaps/>
        </w:rPr>
        <w:t>Z</w:t>
      </w:r>
      <w:r w:rsidRPr="009342B8">
        <w:rPr>
          <w:smallCaps/>
          <w:color w:val="222222"/>
          <w:u w:color="222222"/>
        </w:rPr>
        <w:t>ygmunt</w:t>
      </w:r>
      <w:r w:rsidRPr="009342B8">
        <w:rPr>
          <w:smallCaps/>
        </w:rPr>
        <w:t xml:space="preserve"> Bauman, Community: Seeking Safety in an Insecure World</w:t>
      </w:r>
      <w:r w:rsidRPr="00E76FCE">
        <w:t xml:space="preserve"> (2001); </w:t>
      </w:r>
      <w:r w:rsidRPr="00E76FCE">
        <w:rPr>
          <w:i/>
          <w:iCs/>
        </w:rPr>
        <w:t>see also,</w:t>
      </w:r>
      <w:r>
        <w:rPr>
          <w:i/>
          <w:iCs/>
        </w:rPr>
        <w:t xml:space="preserve"> </w:t>
      </w:r>
      <w:r w:rsidRPr="00E76FCE">
        <w:t>Hiroe</w:t>
      </w:r>
      <w:r>
        <w:t xml:space="preserve"> </w:t>
      </w:r>
      <w:r w:rsidRPr="00E76FCE">
        <w:t>Ishihara &amp;</w:t>
      </w:r>
      <w:r>
        <w:t xml:space="preserve"> </w:t>
      </w:r>
      <w:r w:rsidRPr="00E76FCE">
        <w:t>Unai</w:t>
      </w:r>
      <w:r>
        <w:t xml:space="preserve"> </w:t>
      </w:r>
      <w:r w:rsidRPr="00E76FCE">
        <w:t xml:space="preserve">Pascual, </w:t>
      </w:r>
      <w:r w:rsidRPr="00E76FCE">
        <w:rPr>
          <w:i/>
          <w:iCs/>
        </w:rPr>
        <w:t>Social Capital in Community Level Environmental Governance: A Critique</w:t>
      </w:r>
      <w:r w:rsidRPr="00E76FCE">
        <w:t xml:space="preserve">, 68 </w:t>
      </w:r>
      <w:r w:rsidRPr="00E76FCE">
        <w:rPr>
          <w:smallCaps/>
        </w:rPr>
        <w:t>Ecological Econ.</w:t>
      </w:r>
      <w:r w:rsidRPr="00E76FCE">
        <w:t>1549-1562 (2009).</w:t>
      </w:r>
    </w:p>
  </w:footnote>
  <w:footnote w:id="178">
    <w:p w14:paraId="6B9A3242" w14:textId="77777777" w:rsidR="00E81370" w:rsidRPr="00322752" w:rsidRDefault="00E81370" w:rsidP="001669C2">
      <w:pPr>
        <w:pStyle w:val="FootnoteText"/>
        <w:ind w:firstLine="0"/>
      </w:pPr>
      <w:r w:rsidRPr="00E76FCE">
        <w:rPr>
          <w:vertAlign w:val="superscript"/>
        </w:rPr>
        <w:footnoteRef/>
      </w:r>
      <w:r>
        <w:t xml:space="preserve"> </w:t>
      </w:r>
      <w:r w:rsidRPr="00E76FCE">
        <w:t>Ramana Nanda &amp;</w:t>
      </w:r>
      <w:r>
        <w:t xml:space="preserve"> </w:t>
      </w:r>
      <w:r w:rsidRPr="00E76FCE">
        <w:t xml:space="preserve">Jesper B. Sorensen, </w:t>
      </w:r>
      <w:r w:rsidRPr="00E76FCE">
        <w:rPr>
          <w:i/>
          <w:iCs/>
        </w:rPr>
        <w:t>Workplace Peers and Entrepreneurship</w:t>
      </w:r>
      <w:r w:rsidRPr="00E76FCE">
        <w:t xml:space="preserve">, </w:t>
      </w:r>
      <w:r w:rsidRPr="00E76FCE">
        <w:rPr>
          <w:smallCaps/>
        </w:rPr>
        <w:t>Harv. Bus. Sch. Entrepreneurial Mgmt</w:t>
      </w:r>
      <w:r w:rsidRPr="00E76FCE">
        <w:t>. (Working Paper No. 08-051, 2009).</w:t>
      </w:r>
    </w:p>
  </w:footnote>
  <w:footnote w:id="179">
    <w:p w14:paraId="1586F83A" w14:textId="77777777" w:rsidR="00E81370" w:rsidRPr="00322752" w:rsidRDefault="00E81370" w:rsidP="00FA24DA">
      <w:pPr>
        <w:pStyle w:val="FootnoteText"/>
        <w:ind w:firstLine="0"/>
      </w:pPr>
      <w:r w:rsidRPr="00E76FCE">
        <w:rPr>
          <w:vertAlign w:val="superscript"/>
        </w:rPr>
        <w:footnoteRef/>
      </w:r>
      <w:r>
        <w:rPr>
          <w:i/>
          <w:iCs/>
        </w:rPr>
        <w:t xml:space="preserve"> </w:t>
      </w:r>
      <w:r w:rsidRPr="00E76FCE">
        <w:rPr>
          <w:i/>
          <w:iCs/>
        </w:rPr>
        <w:t>Id.</w:t>
      </w:r>
      <w:r>
        <w:rPr>
          <w:i/>
          <w:iCs/>
        </w:rPr>
        <w:t xml:space="preserve"> </w:t>
      </w:r>
      <w:r>
        <w:rPr>
          <w:color w:val="auto"/>
        </w:rPr>
        <w:t>In this sense,</w:t>
      </w:r>
      <w:r w:rsidRPr="00DD1543">
        <w:rPr>
          <w:color w:val="auto"/>
        </w:rPr>
        <w:t xml:space="preserve"> market</w:t>
      </w:r>
      <w:r>
        <w:rPr>
          <w:color w:val="auto"/>
        </w:rPr>
        <w:t xml:space="preserve"> relationships </w:t>
      </w:r>
      <w:r w:rsidRPr="00DD1543">
        <w:rPr>
          <w:color w:val="auto"/>
        </w:rPr>
        <w:t>serve as a substitute for community ties</w:t>
      </w:r>
      <w:r>
        <w:rPr>
          <w:color w:val="auto"/>
        </w:rPr>
        <w:t xml:space="preserve"> and are thus a significant equalizer</w:t>
      </w:r>
      <w:r w:rsidRPr="00DD1543">
        <w:rPr>
          <w:color w:val="auto"/>
        </w:rPr>
        <w:t>.</w:t>
      </w:r>
    </w:p>
  </w:footnote>
  <w:footnote w:id="180">
    <w:p w14:paraId="75ED926C" w14:textId="77777777" w:rsidR="00E81370" w:rsidRPr="00016B9E" w:rsidRDefault="00E81370" w:rsidP="001C6AF4">
      <w:pPr>
        <w:pStyle w:val="FootnoteText"/>
        <w:ind w:firstLine="0"/>
      </w:pPr>
      <w:r w:rsidRPr="00E76FCE">
        <w:rPr>
          <w:vertAlign w:val="superscript"/>
        </w:rPr>
        <w:footnoteRef/>
      </w:r>
      <w:r w:rsidRPr="00E76FCE">
        <w:t xml:space="preserve">Jasjit Singh, </w:t>
      </w:r>
      <w:r w:rsidRPr="00E76FCE">
        <w:rPr>
          <w:i/>
          <w:iCs/>
        </w:rPr>
        <w:t>Collaboration Networks as Determinants of Knowledge Diffusion</w:t>
      </w:r>
      <w:r w:rsidRPr="00016B9E">
        <w:rPr>
          <w:i/>
          <w:iCs/>
        </w:rPr>
        <w:t xml:space="preserve"> Processes</w:t>
      </w:r>
      <w:r w:rsidRPr="00016B9E">
        <w:t xml:space="preserve">, 51 </w:t>
      </w:r>
      <w:r w:rsidRPr="00016B9E">
        <w:rPr>
          <w:smallCaps/>
        </w:rPr>
        <w:t>Mgmt. Sci</w:t>
      </w:r>
      <w:r>
        <w:rPr>
          <w:smallCaps/>
        </w:rPr>
        <w:t>.</w:t>
      </w:r>
      <w:r w:rsidRPr="00016B9E">
        <w:t xml:space="preserve"> 756-770 (2005).</w:t>
      </w:r>
    </w:p>
  </w:footnote>
  <w:footnote w:id="181">
    <w:p w14:paraId="361732C5" w14:textId="77777777" w:rsidR="00E81370" w:rsidRPr="00016B9E" w:rsidRDefault="00E81370" w:rsidP="00825680">
      <w:pPr>
        <w:pStyle w:val="FootnoteText"/>
        <w:ind w:firstLine="0"/>
      </w:pPr>
      <w:r w:rsidRPr="00016B9E">
        <w:rPr>
          <w:vertAlign w:val="superscript"/>
        </w:rPr>
        <w:footnoteRef/>
      </w:r>
      <w:r w:rsidRPr="00016B9E">
        <w:t xml:space="preserve"> Orly Lobel, </w:t>
      </w:r>
      <w:r w:rsidRPr="00016B9E">
        <w:rPr>
          <w:i/>
          <w:iCs/>
        </w:rPr>
        <w:t>The Four Pillars of Work Law</w:t>
      </w:r>
      <w:r w:rsidRPr="00016B9E">
        <w:t xml:space="preserve">, 104 </w:t>
      </w:r>
      <w:r w:rsidRPr="00016B9E">
        <w:rPr>
          <w:smallCaps/>
        </w:rPr>
        <w:t>Mich. L. Rev.</w:t>
      </w:r>
      <w:r w:rsidRPr="00016B9E">
        <w:t xml:space="preserve"> 1539 (2006).</w:t>
      </w:r>
    </w:p>
  </w:footnote>
  <w:footnote w:id="182">
    <w:p w14:paraId="33037B05" w14:textId="77777777" w:rsidR="00E81370" w:rsidRPr="00016B9E" w:rsidRDefault="00E81370" w:rsidP="00C72268">
      <w:pPr>
        <w:pStyle w:val="FootnoteText"/>
        <w:ind w:firstLine="0"/>
      </w:pPr>
      <w:r w:rsidRPr="00016B9E">
        <w:rPr>
          <w:vertAlign w:val="superscript"/>
        </w:rPr>
        <w:footnoteRef/>
      </w:r>
      <w:r w:rsidRPr="00016B9E">
        <w:t xml:space="preserve"> P. Marsden &amp; N. Friedkin, </w:t>
      </w:r>
      <w:r w:rsidRPr="00016B9E">
        <w:rPr>
          <w:i/>
          <w:iCs/>
        </w:rPr>
        <w:t>Network Studies of Social Influence</w:t>
      </w:r>
      <w:r w:rsidRPr="00016B9E">
        <w:t xml:space="preserve">, 22 </w:t>
      </w:r>
      <w:r w:rsidRPr="00016B9E">
        <w:rPr>
          <w:smallCaps/>
        </w:rPr>
        <w:t xml:space="preserve">Soc. Methods </w:t>
      </w:r>
      <w:r w:rsidRPr="00033058">
        <w:rPr>
          <w:smallCaps/>
        </w:rPr>
        <w:t>and</w:t>
      </w:r>
      <w:r w:rsidRPr="00016B9E">
        <w:rPr>
          <w:smallCaps/>
        </w:rPr>
        <w:t xml:space="preserve"> Res.</w:t>
      </w:r>
      <w:r w:rsidRPr="00016B9E">
        <w:t xml:space="preserve"> 127 (1993).</w:t>
      </w:r>
    </w:p>
  </w:footnote>
  <w:footnote w:id="183">
    <w:p w14:paraId="27934549" w14:textId="77777777" w:rsidR="00E81370" w:rsidRPr="00016B9E" w:rsidRDefault="00E81370" w:rsidP="00C72268">
      <w:pPr>
        <w:pStyle w:val="FootnoteText"/>
        <w:ind w:firstLine="0"/>
      </w:pPr>
      <w:r w:rsidRPr="00016B9E">
        <w:rPr>
          <w:vertAlign w:val="superscript"/>
        </w:rPr>
        <w:footnoteRef/>
      </w:r>
      <w:r w:rsidRPr="00016B9E">
        <w:t xml:space="preserve"> Morten T. Hansen, </w:t>
      </w:r>
      <w:r w:rsidRPr="00016B9E">
        <w:rPr>
          <w:i/>
          <w:iCs/>
        </w:rPr>
        <w:t xml:space="preserve">The Search-Transfer Problem: </w:t>
      </w:r>
      <w:r>
        <w:rPr>
          <w:i/>
          <w:iCs/>
        </w:rPr>
        <w:t>T</w:t>
      </w:r>
      <w:r w:rsidRPr="00016B9E">
        <w:rPr>
          <w:i/>
          <w:iCs/>
        </w:rPr>
        <w:t xml:space="preserve">he Role of Weak Ties in Sharing Knowledge Across </w:t>
      </w:r>
      <w:r>
        <w:rPr>
          <w:i/>
          <w:iCs/>
        </w:rPr>
        <w:t>O</w:t>
      </w:r>
      <w:r w:rsidRPr="00016B9E">
        <w:rPr>
          <w:i/>
          <w:iCs/>
        </w:rPr>
        <w:t>rganization Subunits</w:t>
      </w:r>
      <w:r w:rsidRPr="00016B9E">
        <w:t xml:space="preserve">, 44 </w:t>
      </w:r>
      <w:r w:rsidRPr="00016B9E">
        <w:rPr>
          <w:smallCaps/>
        </w:rPr>
        <w:t>Admin. Sci. Q</w:t>
      </w:r>
      <w:r>
        <w:rPr>
          <w:smallCaps/>
        </w:rPr>
        <w:t>.</w:t>
      </w:r>
      <w:r w:rsidRPr="00016B9E">
        <w:t xml:space="preserve"> 82-111 (1999).</w:t>
      </w:r>
    </w:p>
  </w:footnote>
  <w:footnote w:id="184">
    <w:p w14:paraId="57D5CC86" w14:textId="77777777" w:rsidR="00E81370" w:rsidRPr="00016B9E" w:rsidRDefault="00E81370" w:rsidP="00825680">
      <w:pPr>
        <w:pStyle w:val="FootnoteText"/>
        <w:ind w:firstLine="0"/>
      </w:pPr>
      <w:r w:rsidRPr="00016B9E">
        <w:rPr>
          <w:vertAlign w:val="superscript"/>
        </w:rPr>
        <w:footnoteRef/>
      </w:r>
      <w:r w:rsidRPr="00016B9E">
        <w:t xml:space="preserve"> Gerald Carlino et al., </w:t>
      </w:r>
      <w:r w:rsidRPr="00016B9E">
        <w:rPr>
          <w:i/>
          <w:iCs/>
        </w:rPr>
        <w:t>Matching and Learning in Cities: Urban Density and the Rate of Invention</w:t>
      </w:r>
      <w:r w:rsidRPr="00016B9E">
        <w:t xml:space="preserve"> 17-23 (Fed. Res. Bank of Phila., Working Paper No. 4-16/R, 2005).</w:t>
      </w:r>
    </w:p>
  </w:footnote>
  <w:footnote w:id="185">
    <w:p w14:paraId="401403B3" w14:textId="77777777" w:rsidR="00E81370" w:rsidRPr="00016B9E" w:rsidRDefault="00E81370" w:rsidP="00825680">
      <w:pPr>
        <w:pStyle w:val="NormalWeb"/>
        <w:spacing w:before="0" w:after="0"/>
        <w:jc w:val="both"/>
        <w:rPr>
          <w:sz w:val="20"/>
          <w:szCs w:val="20"/>
        </w:rPr>
      </w:pPr>
      <w:r w:rsidRPr="00016B9E">
        <w:rPr>
          <w:sz w:val="20"/>
          <w:szCs w:val="20"/>
          <w:vertAlign w:val="superscript"/>
        </w:rPr>
        <w:footnoteRef/>
      </w:r>
      <w:r>
        <w:rPr>
          <w:sz w:val="20"/>
          <w:szCs w:val="20"/>
        </w:rPr>
        <w:t xml:space="preserve"> Relational and networked knowledge is related to the concept of social capital, which is distinct from intellectual capital. While intellectual capital (or formal knowledge) can be transferred though education, social capital is embedded in our daily interactions. </w:t>
      </w:r>
      <w:r w:rsidRPr="00A40A70">
        <w:rPr>
          <w:i/>
          <w:sz w:val="20"/>
          <w:szCs w:val="20"/>
        </w:rPr>
        <w:t>See generally</w:t>
      </w:r>
      <w:r>
        <w:rPr>
          <w:sz w:val="20"/>
          <w:szCs w:val="20"/>
        </w:rPr>
        <w:t xml:space="preserve">, </w:t>
      </w:r>
      <w:r w:rsidRPr="00016B9E">
        <w:rPr>
          <w:sz w:val="20"/>
          <w:szCs w:val="20"/>
        </w:rPr>
        <w:t xml:space="preserve">James S. Coleman, </w:t>
      </w:r>
      <w:r w:rsidRPr="00016B9E">
        <w:rPr>
          <w:i/>
          <w:iCs/>
          <w:sz w:val="20"/>
          <w:szCs w:val="20"/>
        </w:rPr>
        <w:t>Social Capital in the Creation of Human Capital</w:t>
      </w:r>
      <w:r w:rsidRPr="00016B9E">
        <w:rPr>
          <w:sz w:val="20"/>
          <w:szCs w:val="20"/>
        </w:rPr>
        <w:t xml:space="preserve">, 94 </w:t>
      </w:r>
      <w:r w:rsidRPr="00016B9E">
        <w:rPr>
          <w:smallCaps/>
          <w:sz w:val="20"/>
          <w:szCs w:val="20"/>
        </w:rPr>
        <w:t>Am. J. Soc</w:t>
      </w:r>
      <w:r>
        <w:rPr>
          <w:sz w:val="20"/>
          <w:szCs w:val="20"/>
        </w:rPr>
        <w:t>, 95 (1988);</w:t>
      </w:r>
      <w:r w:rsidRPr="00016B9E">
        <w:rPr>
          <w:sz w:val="20"/>
          <w:szCs w:val="20"/>
        </w:rPr>
        <w:t xml:space="preserve"> Pierre Bourdieu, </w:t>
      </w:r>
      <w:r w:rsidRPr="00016B9E">
        <w:rPr>
          <w:i/>
          <w:iCs/>
          <w:sz w:val="20"/>
          <w:szCs w:val="20"/>
        </w:rPr>
        <w:t>The Forms of Capital</w:t>
      </w:r>
      <w:r w:rsidRPr="00016B9E">
        <w:rPr>
          <w:sz w:val="20"/>
          <w:szCs w:val="20"/>
        </w:rPr>
        <w:t xml:space="preserve">, </w:t>
      </w:r>
      <w:r w:rsidRPr="00016B9E">
        <w:rPr>
          <w:i/>
          <w:iCs/>
          <w:sz w:val="20"/>
          <w:szCs w:val="20"/>
        </w:rPr>
        <w:t>in</w:t>
      </w:r>
      <w:r w:rsidRPr="00016B9E">
        <w:rPr>
          <w:sz w:val="20"/>
          <w:szCs w:val="20"/>
        </w:rPr>
        <w:t xml:space="preserve"> Handbook of Theory and Research for the Sociology of Education,</w:t>
      </w:r>
      <w:r>
        <w:rPr>
          <w:sz w:val="20"/>
          <w:szCs w:val="20"/>
        </w:rPr>
        <w:t xml:space="preserve"> 241 (John Richardson ed. 1986).</w:t>
      </w:r>
      <w:r w:rsidRPr="00016B9E">
        <w:rPr>
          <w:sz w:val="20"/>
          <w:szCs w:val="20"/>
        </w:rPr>
        <w:t xml:space="preserve"> Bourdieu defined social capital as the aggregate resources </w:t>
      </w:r>
      <w:r>
        <w:rPr>
          <w:sz w:val="20"/>
          <w:szCs w:val="20"/>
        </w:rPr>
        <w:t>that</w:t>
      </w:r>
      <w:r w:rsidRPr="00016B9E">
        <w:rPr>
          <w:sz w:val="20"/>
          <w:szCs w:val="20"/>
        </w:rPr>
        <w:t xml:space="preserve"> are linked to a network. Coleman defined social capital functionally as anything that supports productive activity through social norms, reciprocity and trust. Indeed, there are rich debates between economists</w:t>
      </w:r>
      <w:r>
        <w:rPr>
          <w:sz w:val="20"/>
          <w:szCs w:val="20"/>
        </w:rPr>
        <w:t xml:space="preserve"> and sociologists o</w:t>
      </w:r>
      <w:r w:rsidRPr="00016B9E">
        <w:rPr>
          <w:sz w:val="20"/>
          <w:szCs w:val="20"/>
        </w:rPr>
        <w:t>n the definition of social capital as a form of capital or as a social structure</w:t>
      </w:r>
      <w:r>
        <w:rPr>
          <w:sz w:val="20"/>
          <w:szCs w:val="20"/>
        </w:rPr>
        <w:t xml:space="preserve">. </w:t>
      </w:r>
      <w:r w:rsidRPr="00A40A70">
        <w:rPr>
          <w:i/>
          <w:sz w:val="20"/>
          <w:szCs w:val="20"/>
        </w:rPr>
        <w:t>See</w:t>
      </w:r>
      <w:r>
        <w:rPr>
          <w:sz w:val="20"/>
          <w:szCs w:val="20"/>
        </w:rPr>
        <w:t xml:space="preserve">, </w:t>
      </w:r>
      <w:r w:rsidRPr="00016B9E">
        <w:rPr>
          <w:sz w:val="20"/>
          <w:szCs w:val="20"/>
        </w:rPr>
        <w:t xml:space="preserve">Kenneth Arrow, </w:t>
      </w:r>
      <w:r w:rsidRPr="00016B9E">
        <w:rPr>
          <w:i/>
          <w:iCs/>
          <w:sz w:val="20"/>
          <w:szCs w:val="20"/>
        </w:rPr>
        <w:t>Observations on Social Capital</w:t>
      </w:r>
      <w:r w:rsidRPr="00016B9E">
        <w:rPr>
          <w:sz w:val="20"/>
          <w:szCs w:val="20"/>
        </w:rPr>
        <w:t xml:space="preserve">, </w:t>
      </w:r>
      <w:r w:rsidRPr="00016B9E">
        <w:rPr>
          <w:i/>
          <w:iCs/>
          <w:sz w:val="20"/>
          <w:szCs w:val="20"/>
        </w:rPr>
        <w:t>in</w:t>
      </w:r>
      <w:r w:rsidRPr="00016B9E">
        <w:rPr>
          <w:sz w:val="20"/>
          <w:szCs w:val="20"/>
        </w:rPr>
        <w:t xml:space="preserve"> Social Capital</w:t>
      </w:r>
      <w:r>
        <w:rPr>
          <w:sz w:val="20"/>
          <w:szCs w:val="20"/>
        </w:rPr>
        <w:t xml:space="preserve">: </w:t>
      </w:r>
      <w:r w:rsidRPr="00016B9E">
        <w:rPr>
          <w:sz w:val="20"/>
          <w:szCs w:val="20"/>
        </w:rPr>
        <w:t>A Multifaceted Perspective, 3 (Partha</w:t>
      </w:r>
      <w:r>
        <w:rPr>
          <w:sz w:val="20"/>
          <w:szCs w:val="20"/>
        </w:rPr>
        <w:t xml:space="preserve"> </w:t>
      </w:r>
      <w:r w:rsidRPr="00016B9E">
        <w:rPr>
          <w:sz w:val="20"/>
          <w:szCs w:val="20"/>
        </w:rPr>
        <w:t xml:space="preserve">Dasgupta and Ismail Serageldin ed., 1999); Robert Solow, </w:t>
      </w:r>
      <w:r w:rsidRPr="00C24430">
        <w:rPr>
          <w:i/>
          <w:sz w:val="20"/>
          <w:szCs w:val="20"/>
        </w:rPr>
        <w:t>Notes on Social Capital and Economic Performance</w:t>
      </w:r>
      <w:r w:rsidRPr="00016B9E">
        <w:rPr>
          <w:sz w:val="20"/>
          <w:szCs w:val="20"/>
        </w:rPr>
        <w:t xml:space="preserve">, </w:t>
      </w:r>
      <w:r w:rsidRPr="00016B9E">
        <w:rPr>
          <w:i/>
          <w:iCs/>
          <w:sz w:val="20"/>
          <w:szCs w:val="20"/>
        </w:rPr>
        <w:t>in</w:t>
      </w:r>
      <w:r w:rsidRPr="00016B9E">
        <w:rPr>
          <w:sz w:val="20"/>
          <w:szCs w:val="20"/>
        </w:rPr>
        <w:t xml:space="preserve"> Social Capital</w:t>
      </w:r>
      <w:r>
        <w:rPr>
          <w:sz w:val="20"/>
          <w:szCs w:val="20"/>
        </w:rPr>
        <w:t xml:space="preserve">: </w:t>
      </w:r>
      <w:r w:rsidRPr="00016B9E">
        <w:rPr>
          <w:sz w:val="20"/>
          <w:szCs w:val="20"/>
        </w:rPr>
        <w:t>A Multifaceted Perspective, 6 (Partha</w:t>
      </w:r>
      <w:r>
        <w:rPr>
          <w:sz w:val="20"/>
          <w:szCs w:val="20"/>
        </w:rPr>
        <w:t xml:space="preserve"> </w:t>
      </w:r>
      <w:r w:rsidRPr="00016B9E">
        <w:rPr>
          <w:sz w:val="20"/>
          <w:szCs w:val="20"/>
        </w:rPr>
        <w:t xml:space="preserve">Dasgupta and Ismail Serageldin ed., 1999); Ben Fine, Social Capital versus Social Theory: Political Economy and Social Science at the Turn of the Millennium (2001). Importantly for this article, </w:t>
      </w:r>
      <w:r>
        <w:rPr>
          <w:sz w:val="20"/>
          <w:szCs w:val="20"/>
        </w:rPr>
        <w:t xml:space="preserve">relational and networked knowledge, or the sociological concept of </w:t>
      </w:r>
      <w:r w:rsidRPr="00016B9E">
        <w:rPr>
          <w:sz w:val="20"/>
          <w:szCs w:val="20"/>
        </w:rPr>
        <w:t>social capital</w:t>
      </w:r>
      <w:r>
        <w:rPr>
          <w:sz w:val="20"/>
          <w:szCs w:val="20"/>
        </w:rPr>
        <w:t>, is viewed</w:t>
      </w:r>
      <w:r w:rsidRPr="00016B9E">
        <w:rPr>
          <w:sz w:val="20"/>
          <w:szCs w:val="20"/>
        </w:rPr>
        <w:t xml:space="preserve"> as a functional structure that </w:t>
      </w:r>
      <w:r>
        <w:rPr>
          <w:sz w:val="20"/>
          <w:szCs w:val="20"/>
        </w:rPr>
        <w:t>is one aspect of human capital</w:t>
      </w:r>
      <w:r w:rsidRPr="00016B9E">
        <w:rPr>
          <w:sz w:val="20"/>
          <w:szCs w:val="20"/>
        </w:rPr>
        <w:t xml:space="preserve">. </w:t>
      </w:r>
    </w:p>
  </w:footnote>
  <w:footnote w:id="186">
    <w:p w14:paraId="5ADECDC1" w14:textId="77777777" w:rsidR="00E81370" w:rsidRPr="00876CF1" w:rsidRDefault="00E81370" w:rsidP="00B55E4E">
      <w:pPr>
        <w:pStyle w:val="FootnoteText"/>
        <w:ind w:firstLine="0"/>
      </w:pPr>
      <w:r w:rsidRPr="00016B9E">
        <w:rPr>
          <w:vertAlign w:val="superscript"/>
        </w:rPr>
        <w:footnoteRef/>
      </w:r>
      <w:r w:rsidRPr="00016B9E">
        <w:t xml:space="preserve"> On Amir &amp; Orly Lobel, </w:t>
      </w:r>
      <w:r w:rsidRPr="00016B9E">
        <w:rPr>
          <w:i/>
          <w:iCs/>
        </w:rPr>
        <w:t>How Noncompetes Stifle Performance</w:t>
      </w:r>
      <w:r w:rsidRPr="00016B9E">
        <w:t xml:space="preserve">, </w:t>
      </w:r>
      <w:r w:rsidRPr="00016B9E">
        <w:rPr>
          <w:smallCaps/>
        </w:rPr>
        <w:t>Harv. Bus. Rev</w:t>
      </w:r>
      <w:r w:rsidRPr="00016B9E">
        <w:t xml:space="preserve">. 2014; </w:t>
      </w:r>
      <w:r w:rsidRPr="00365312">
        <w:t xml:space="preserve">On Amir &amp; Orly Lobel, </w:t>
      </w:r>
      <w:r w:rsidRPr="0025010A">
        <w:rPr>
          <w:i/>
          <w:iCs/>
        </w:rPr>
        <w:t>Driving Performance: A Growth Theory of Non-Compete Law</w:t>
      </w:r>
      <w:r w:rsidRPr="002D5D0C">
        <w:t xml:space="preserve">, </w:t>
      </w:r>
      <w:r w:rsidRPr="002D5D0C">
        <w:rPr>
          <w:smallCaps/>
        </w:rPr>
        <w:t>Stan. Tech. L. Rev.</w:t>
      </w:r>
      <w:r w:rsidRPr="006E67AF">
        <w:t xml:space="preserve"> (2013).</w:t>
      </w:r>
    </w:p>
  </w:footnote>
  <w:footnote w:id="187">
    <w:p w14:paraId="30885C40" w14:textId="77777777" w:rsidR="00E81370" w:rsidRPr="00F355FC" w:rsidRDefault="00E81370" w:rsidP="00F355FC">
      <w:pPr>
        <w:pStyle w:val="FootnoteText"/>
        <w:ind w:firstLine="0"/>
        <w:rPr>
          <w:smallCaps/>
        </w:rPr>
      </w:pPr>
      <w:r>
        <w:rPr>
          <w:rStyle w:val="FootnoteReference"/>
        </w:rPr>
        <w:footnoteRef/>
      </w:r>
      <w:r>
        <w:t xml:space="preserve"> Christopher Sprigman, Christopher Buccafusco, &amp; Zachary Burns, </w:t>
      </w:r>
      <w:r w:rsidRPr="00F355FC">
        <w:rPr>
          <w:i/>
          <w:iCs/>
        </w:rPr>
        <w:t>What’s A Name Worth? Experimental Tests of the Value of Attribution in Intellectual Property</w:t>
      </w:r>
      <w:r>
        <w:t xml:space="preserve">, </w:t>
      </w:r>
      <w:r w:rsidRPr="00F355FC">
        <w:rPr>
          <w:smallCaps/>
        </w:rPr>
        <w:t>93 B.C. L</w:t>
      </w:r>
      <w:r>
        <w:rPr>
          <w:smallCaps/>
        </w:rPr>
        <w:t>.</w:t>
      </w:r>
      <w:r w:rsidRPr="00F355FC">
        <w:rPr>
          <w:smallCaps/>
        </w:rPr>
        <w:t xml:space="preserve"> Rev. 1 (2013). </w:t>
      </w:r>
    </w:p>
  </w:footnote>
  <w:footnote w:id="188">
    <w:p w14:paraId="7A47D5BE" w14:textId="77777777" w:rsidR="00E81370" w:rsidRPr="00876CF1" w:rsidRDefault="00E81370" w:rsidP="00FB347F">
      <w:pPr>
        <w:pStyle w:val="FootnoteText"/>
      </w:pPr>
      <w:r w:rsidRPr="00016B9E">
        <w:rPr>
          <w:vertAlign w:val="superscript"/>
        </w:rPr>
        <w:footnoteRef/>
      </w:r>
      <w:r>
        <w:t xml:space="preserve"> </w:t>
      </w:r>
      <w:r w:rsidRPr="00B55E4E">
        <w:t>Amir &amp; Lobel,</w:t>
      </w:r>
      <w:r>
        <w:rPr>
          <w:i/>
          <w:iCs/>
        </w:rPr>
        <w:t xml:space="preserve"> supra </w:t>
      </w:r>
      <w:r w:rsidRPr="00F528E6">
        <w:rPr>
          <w:iCs/>
        </w:rPr>
        <w:t>note</w:t>
      </w:r>
      <w:r>
        <w:rPr>
          <w:iCs/>
        </w:rPr>
        <w:t xml:space="preserve"> </w:t>
      </w:r>
      <w:r>
        <w:rPr>
          <w:iCs/>
        </w:rPr>
        <w:fldChar w:fldCharType="begin"/>
      </w:r>
      <w:r>
        <w:rPr>
          <w:iCs/>
        </w:rPr>
        <w:instrText xml:space="preserve"> NOTEREF _Ref266780293 \h </w:instrText>
      </w:r>
      <w:r>
        <w:rPr>
          <w:iCs/>
        </w:rPr>
      </w:r>
      <w:r>
        <w:rPr>
          <w:iCs/>
        </w:rPr>
        <w:fldChar w:fldCharType="separate"/>
      </w:r>
      <w:r w:rsidR="0039144E">
        <w:rPr>
          <w:iCs/>
        </w:rPr>
        <w:t>184</w:t>
      </w:r>
      <w:r>
        <w:rPr>
          <w:iCs/>
        </w:rPr>
        <w:fldChar w:fldCharType="end"/>
      </w:r>
      <w:r>
        <w:t>.</w:t>
      </w:r>
    </w:p>
  </w:footnote>
  <w:footnote w:id="189">
    <w:p w14:paraId="30DFD9B4" w14:textId="77777777" w:rsidR="00E81370" w:rsidRPr="002D5D0C" w:rsidRDefault="00E81370" w:rsidP="0078726F">
      <w:pPr>
        <w:pStyle w:val="FootnoteText"/>
        <w:ind w:firstLine="0"/>
      </w:pPr>
      <w:r w:rsidRPr="00DF364A">
        <w:rPr>
          <w:vertAlign w:val="superscript"/>
        </w:rPr>
        <w:footnoteRef/>
      </w:r>
      <w:r w:rsidRPr="00DA2521">
        <w:t xml:space="preserve"> Mark J. Garmaise, </w:t>
      </w:r>
      <w:r w:rsidRPr="00866580">
        <w:rPr>
          <w:i/>
          <w:iCs/>
        </w:rPr>
        <w:t>Ties that Truly Bind: Noncompetition Agreement, Executive Compensation, and Firm Investment</w:t>
      </w:r>
      <w:r w:rsidRPr="00155389">
        <w:t xml:space="preserve"> 27 </w:t>
      </w:r>
      <w:r w:rsidRPr="00A42F9C">
        <w:rPr>
          <w:smallCaps/>
        </w:rPr>
        <w:t>J.L. Econ. &amp; Org.</w:t>
      </w:r>
      <w:r w:rsidRPr="00EC5E5B">
        <w:t xml:space="preserve"> 375-398 (2011) (</w:t>
      </w:r>
      <w:r w:rsidRPr="00AB2860">
        <w:t>“</w:t>
      </w:r>
      <w:r w:rsidRPr="00365312">
        <w:t>non-competes bind human capital to firms, and in doing so they change the quality of that capital</w:t>
      </w:r>
      <w:r w:rsidRPr="00AB2860">
        <w:t>”</w:t>
      </w:r>
      <w:r w:rsidRPr="00365312">
        <w:t>)</w:t>
      </w:r>
      <w:r w:rsidRPr="0025010A">
        <w:t>.</w:t>
      </w:r>
    </w:p>
  </w:footnote>
  <w:footnote w:id="190">
    <w:p w14:paraId="16AF95A6" w14:textId="77777777" w:rsidR="00E81370" w:rsidRPr="00DA2521" w:rsidRDefault="00E81370" w:rsidP="00825680">
      <w:pPr>
        <w:pStyle w:val="FootnoteText"/>
        <w:ind w:firstLine="0"/>
      </w:pPr>
      <w:r w:rsidRPr="002D5D0C">
        <w:rPr>
          <w:vertAlign w:val="superscript"/>
        </w:rPr>
        <w:footnoteRef/>
      </w:r>
      <w:r w:rsidRPr="006E67AF">
        <w:t xml:space="preserve"> Dar</w:t>
      </w:r>
      <w:r w:rsidRPr="00876CF1">
        <w:t xml:space="preserve">on Acemoglu, </w:t>
      </w:r>
      <w:r w:rsidRPr="00356D7A">
        <w:rPr>
          <w:i/>
          <w:iCs/>
        </w:rPr>
        <w:t>Patterns of Skill Premia</w:t>
      </w:r>
      <w:r w:rsidRPr="006F4E1A">
        <w:t xml:space="preserve">, 70 </w:t>
      </w:r>
      <w:r w:rsidRPr="00DF364A">
        <w:rPr>
          <w:smallCaps/>
        </w:rPr>
        <w:t>Rev. of Econ. Stud.</w:t>
      </w:r>
      <w:r>
        <w:rPr>
          <w:smallCaps/>
        </w:rPr>
        <w:t xml:space="preserve"> </w:t>
      </w:r>
      <w:r w:rsidRPr="00DA2521">
        <w:t>199-230 (2003).</w:t>
      </w:r>
    </w:p>
  </w:footnote>
  <w:footnote w:id="191">
    <w:p w14:paraId="690CD12D" w14:textId="77777777" w:rsidR="00E81370" w:rsidRPr="00EC5E5B" w:rsidRDefault="00E81370" w:rsidP="00FA24DA">
      <w:pPr>
        <w:pStyle w:val="FootnoteText"/>
        <w:ind w:firstLine="0"/>
      </w:pPr>
      <w:r w:rsidRPr="00A42F9C">
        <w:rPr>
          <w:vertAlign w:val="superscript"/>
        </w:rPr>
        <w:footnoteRef/>
      </w:r>
      <w:r w:rsidRPr="00EC5E5B">
        <w:t xml:space="preserve"> </w:t>
      </w:r>
      <w:r w:rsidRPr="00CE27BB">
        <w:rPr>
          <w:i/>
        </w:rPr>
        <w:t xml:space="preserve">Id. </w:t>
      </w:r>
    </w:p>
  </w:footnote>
  <w:footnote w:id="192">
    <w:p w14:paraId="2BC19D51" w14:textId="77777777" w:rsidR="00E81370" w:rsidRPr="00016B9E" w:rsidRDefault="00E81370" w:rsidP="00825680">
      <w:pPr>
        <w:pStyle w:val="FootnoteText"/>
        <w:ind w:firstLine="0"/>
      </w:pPr>
      <w:r w:rsidRPr="00EC5E5B">
        <w:rPr>
          <w:vertAlign w:val="superscript"/>
        </w:rPr>
        <w:footnoteRef/>
      </w:r>
      <w:r w:rsidRPr="00EC5E5B">
        <w:t xml:space="preserve"> Daron Acemoglu &amp; David Autor, </w:t>
      </w:r>
      <w:r w:rsidRPr="00EC5E5B">
        <w:rPr>
          <w:i/>
          <w:iCs/>
        </w:rPr>
        <w:t>What Does Human Capital Do?</w:t>
      </w:r>
      <w:r w:rsidRPr="00EC5E5B">
        <w:t xml:space="preserve">, </w:t>
      </w:r>
      <w:r w:rsidRPr="00EC5E5B">
        <w:rPr>
          <w:smallCaps/>
        </w:rPr>
        <w:t>J. of Econ. Lit.</w:t>
      </w:r>
      <w:r w:rsidRPr="00EC5E5B">
        <w:t xml:space="preserve"> (forthcoming 2012).</w:t>
      </w:r>
    </w:p>
  </w:footnote>
  <w:footnote w:id="193">
    <w:p w14:paraId="3DBCEA78" w14:textId="77777777" w:rsidR="00E81370" w:rsidRPr="009722F4" w:rsidRDefault="00E81370" w:rsidP="00C2392B">
      <w:pPr>
        <w:pStyle w:val="FootnoteText"/>
        <w:ind w:firstLine="0"/>
      </w:pPr>
      <w:r w:rsidRPr="009722F4">
        <w:rPr>
          <w:vertAlign w:val="superscript"/>
        </w:rPr>
        <w:footnoteRef/>
      </w:r>
      <w:r w:rsidRPr="009722F4">
        <w:t xml:space="preserve"> </w:t>
      </w:r>
      <w:r w:rsidRPr="00EE09BC">
        <w:t xml:space="preserve">Ajay Agrawal et al., </w:t>
      </w:r>
      <w:r w:rsidRPr="00EE09BC">
        <w:rPr>
          <w:i/>
          <w:iCs/>
        </w:rPr>
        <w:t>Not Invented Here? Innovation in Company Towns</w:t>
      </w:r>
      <w:r w:rsidRPr="00EE09BC">
        <w:t xml:space="preserve"> (Nat</w:t>
      </w:r>
      <w:r>
        <w:t>’</w:t>
      </w:r>
      <w:r w:rsidRPr="009722F4">
        <w:t>l Bureau of Econ. Research, Working Paper No. 15437, 2009).</w:t>
      </w:r>
    </w:p>
  </w:footnote>
  <w:footnote w:id="194">
    <w:p w14:paraId="137BC05C" w14:textId="77777777" w:rsidR="00E81370" w:rsidRPr="009722F4" w:rsidRDefault="00E81370">
      <w:pPr>
        <w:pStyle w:val="FootnoteText"/>
        <w:ind w:firstLine="0"/>
      </w:pPr>
      <w:r w:rsidRPr="00EE09BC">
        <w:rPr>
          <w:vertAlign w:val="superscript"/>
        </w:rPr>
        <w:footnoteRef/>
      </w:r>
      <w:r w:rsidRPr="00EE09BC">
        <w:t xml:space="preserve"> Ralph Katz &amp; Thomas J. Allen, </w:t>
      </w:r>
      <w:r w:rsidRPr="00EE09BC">
        <w:rPr>
          <w:i/>
          <w:iCs/>
        </w:rPr>
        <w:t>Investigating the Not Invented Here (NHI) Syndrome</w:t>
      </w:r>
      <w:r w:rsidRPr="00EE09BC">
        <w:t xml:space="preserve">, 12 </w:t>
      </w:r>
      <w:r w:rsidRPr="00EE09BC">
        <w:rPr>
          <w:smallCaps/>
        </w:rPr>
        <w:t>R&amp;D Mgmt</w:t>
      </w:r>
      <w:r w:rsidRPr="00EE09BC">
        <w:t>. 7-19 (2007).</w:t>
      </w:r>
    </w:p>
  </w:footnote>
  <w:footnote w:id="195">
    <w:p w14:paraId="0D8F36D5" w14:textId="77777777" w:rsidR="00E81370" w:rsidRPr="009722F4" w:rsidRDefault="00E81370" w:rsidP="00FA24DA">
      <w:pPr>
        <w:pStyle w:val="FootnoteText"/>
        <w:ind w:firstLine="0"/>
      </w:pPr>
      <w:r w:rsidRPr="00EE09BC">
        <w:rPr>
          <w:vertAlign w:val="superscript"/>
        </w:rPr>
        <w:footnoteRef/>
      </w:r>
      <w:r w:rsidRPr="00EE09BC">
        <w:t xml:space="preserve"> </w:t>
      </w:r>
      <w:r w:rsidRPr="00CE27BB">
        <w:rPr>
          <w:i/>
        </w:rPr>
        <w:t>Id.</w:t>
      </w:r>
    </w:p>
  </w:footnote>
  <w:footnote w:id="196">
    <w:p w14:paraId="4A373FB4" w14:textId="77777777" w:rsidR="00E81370" w:rsidRPr="009722F4" w:rsidRDefault="00E81370" w:rsidP="00C2392B">
      <w:pPr>
        <w:pStyle w:val="FootnoteText"/>
        <w:ind w:firstLine="0"/>
      </w:pPr>
      <w:r w:rsidRPr="00EE09BC">
        <w:rPr>
          <w:vertAlign w:val="superscript"/>
        </w:rPr>
        <w:footnoteRef/>
      </w:r>
      <w:r w:rsidRPr="00EE09BC">
        <w:t xml:space="preserve"> Ajay Agrawal et al., </w:t>
      </w:r>
      <w:r w:rsidRPr="00EE09BC">
        <w:rPr>
          <w:i/>
          <w:iCs/>
        </w:rPr>
        <w:t>Not Invented Here? Innovation in Company Towns</w:t>
      </w:r>
      <w:r w:rsidRPr="00EE09BC">
        <w:t xml:space="preserve"> (Nat</w:t>
      </w:r>
      <w:r>
        <w:t>’</w:t>
      </w:r>
      <w:r w:rsidRPr="009722F4">
        <w:t>l Bureau of Econ. Research, Working Paper No. 15437, 2009).</w:t>
      </w:r>
    </w:p>
  </w:footnote>
  <w:footnote w:id="197">
    <w:p w14:paraId="4493AA51" w14:textId="77777777" w:rsidR="00E81370" w:rsidRPr="002864AB" w:rsidRDefault="00E81370" w:rsidP="00FA24DA">
      <w:pPr>
        <w:pStyle w:val="FootnoteText"/>
        <w:ind w:firstLine="0"/>
      </w:pPr>
      <w:r w:rsidRPr="00ED551E">
        <w:rPr>
          <w:rStyle w:val="FootnoteReference"/>
        </w:rPr>
        <w:footnoteRef/>
      </w:r>
      <w:r w:rsidRPr="00EE09BC">
        <w:t xml:space="preserve"> English folk poem, cite</w:t>
      </w:r>
      <w:r>
        <w:t>d</w:t>
      </w:r>
      <w:r w:rsidRPr="00EE09BC">
        <w:t xml:space="preserve"> in Boyle </w:t>
      </w:r>
      <w:r w:rsidRPr="00CE27BB">
        <w:rPr>
          <w:i/>
        </w:rPr>
        <w:t>supra</w:t>
      </w:r>
      <w:r w:rsidRPr="00EE09BC">
        <w:t xml:space="preserve"> note </w:t>
      </w:r>
      <w:r>
        <w:fldChar w:fldCharType="begin"/>
      </w:r>
      <w:r>
        <w:instrText xml:space="preserve"> NOTEREF _Ref266029048 \h </w:instrText>
      </w:r>
      <w:r>
        <w:fldChar w:fldCharType="separate"/>
      </w:r>
      <w:r w:rsidR="0039144E">
        <w:t>197</w:t>
      </w:r>
      <w:r>
        <w:fldChar w:fldCharType="end"/>
      </w:r>
      <w:r w:rsidRPr="00EE09BC">
        <w:t xml:space="preserve"> at 33.</w:t>
      </w:r>
    </w:p>
  </w:footnote>
  <w:footnote w:id="198">
    <w:p w14:paraId="6FF9BBAA" w14:textId="77777777" w:rsidR="00E81370" w:rsidRPr="00B7667E" w:rsidRDefault="00E81370" w:rsidP="00D94793">
      <w:pPr>
        <w:pStyle w:val="FootnoteText"/>
        <w:ind w:firstLine="0"/>
      </w:pPr>
      <w:r w:rsidRPr="00B7667E">
        <w:rPr>
          <w:rStyle w:val="FootnoteReference"/>
        </w:rPr>
        <w:footnoteRef/>
      </w:r>
      <w:r>
        <w:rPr>
          <w:rFonts w:cs="Arial"/>
          <w:color w:val="252525"/>
        </w:rPr>
        <w:t xml:space="preserve"> </w:t>
      </w:r>
      <w:r w:rsidRPr="00E76FCE">
        <w:rPr>
          <w:rFonts w:cs="Arial"/>
          <w:color w:val="252525"/>
        </w:rPr>
        <w:t xml:space="preserve">Charles A. Reich, </w:t>
      </w:r>
      <w:r w:rsidRPr="00E76FCE">
        <w:rPr>
          <w:rFonts w:cs="Arial"/>
          <w:i/>
          <w:color w:val="252525"/>
        </w:rPr>
        <w:t>The New Property</w:t>
      </w:r>
      <w:r w:rsidRPr="00E76FCE">
        <w:rPr>
          <w:rFonts w:cs="Arial"/>
          <w:color w:val="252525"/>
        </w:rPr>
        <w:t xml:space="preserve">, 73 </w:t>
      </w:r>
      <w:r w:rsidRPr="009342B8">
        <w:rPr>
          <w:rFonts w:cs="Arial"/>
          <w:smallCaps/>
          <w:color w:val="252525"/>
        </w:rPr>
        <w:t>Yale L.J</w:t>
      </w:r>
      <w:r>
        <w:rPr>
          <w:rFonts w:cs="Arial"/>
          <w:color w:val="252525"/>
        </w:rPr>
        <w:t>. 733, 733 (1964).</w:t>
      </w:r>
    </w:p>
  </w:footnote>
  <w:footnote w:id="199">
    <w:p w14:paraId="5AA16B95" w14:textId="77777777" w:rsidR="00E81370" w:rsidRPr="00016B9E" w:rsidRDefault="00E81370" w:rsidP="004A219D">
      <w:pPr>
        <w:pStyle w:val="FootnoteText"/>
        <w:ind w:firstLine="0"/>
      </w:pPr>
      <w:r w:rsidRPr="00B7667E">
        <w:rPr>
          <w:vertAlign w:val="superscript"/>
        </w:rPr>
        <w:footnoteRef/>
      </w:r>
      <w:r w:rsidRPr="00B7667E">
        <w:t xml:space="preserve"> James Boyle, </w:t>
      </w:r>
      <w:r w:rsidRPr="002864AB">
        <w:rPr>
          <w:i/>
          <w:iCs/>
        </w:rPr>
        <w:t>The Second Enclosure Movement and the Construction of Public Domain</w:t>
      </w:r>
      <w:r w:rsidRPr="00E76FCE">
        <w:t xml:space="preserve">, 66 </w:t>
      </w:r>
      <w:r w:rsidRPr="00E76FCE">
        <w:rPr>
          <w:smallCaps/>
        </w:rPr>
        <w:t>Law &amp; Contemp. Probs</w:t>
      </w:r>
      <w:r w:rsidRPr="00E76FCE">
        <w:t>. 33-75 (2003). The</w:t>
      </w:r>
      <w:r w:rsidRPr="00E76FCE">
        <w:rPr>
          <w:rStyle w:val="apple-converted-space"/>
          <w:rFonts w:cs="Arial"/>
          <w:color w:val="252525"/>
        </w:rPr>
        <w:t> </w:t>
      </w:r>
      <w:r w:rsidRPr="00E76FCE">
        <w:rPr>
          <w:rFonts w:cs="Arial"/>
          <w:color w:val="252525"/>
        </w:rPr>
        <w:t xml:space="preserve">first enclosure movement </w:t>
      </w:r>
      <w:r>
        <w:rPr>
          <w:rFonts w:cs="Arial"/>
          <w:color w:val="252525"/>
        </w:rPr>
        <w:t>concerned</w:t>
      </w:r>
      <w:r w:rsidRPr="00E76FCE">
        <w:rPr>
          <w:rFonts w:cs="Arial"/>
          <w:color w:val="252525"/>
        </w:rPr>
        <w:t xml:space="preserve"> the expansion of real property and the debates surrounding </w:t>
      </w:r>
      <w:r>
        <w:rPr>
          <w:rFonts w:cs="Arial"/>
          <w:color w:val="252525"/>
        </w:rPr>
        <w:t>the</w:t>
      </w:r>
      <w:r w:rsidRPr="00E76FCE">
        <w:rPr>
          <w:rFonts w:cs="Arial"/>
          <w:color w:val="252525"/>
        </w:rPr>
        <w:t xml:space="preserve"> effect </w:t>
      </w:r>
      <w:r>
        <w:rPr>
          <w:rFonts w:cs="Arial"/>
          <w:color w:val="252525"/>
        </w:rPr>
        <w:t xml:space="preserve">of private property on the social contract and </w:t>
      </w:r>
      <w:r w:rsidRPr="00E76FCE">
        <w:rPr>
          <w:rFonts w:cs="Arial"/>
          <w:color w:val="252525"/>
        </w:rPr>
        <w:t xml:space="preserve">wealth distribution. </w:t>
      </w:r>
      <w:r w:rsidRPr="004A219D">
        <w:rPr>
          <w:rFonts w:cs="Arial"/>
          <w:i/>
          <w:iCs/>
          <w:color w:val="252525"/>
        </w:rPr>
        <w:t>See generally</w:t>
      </w:r>
      <w:r w:rsidRPr="00E76FCE">
        <w:rPr>
          <w:rFonts w:cs="Arial"/>
          <w:color w:val="252525"/>
        </w:rPr>
        <w:t xml:space="preserve">, </w:t>
      </w:r>
      <w:r>
        <w:rPr>
          <w:rStyle w:val="cosmallcaps"/>
          <w:rFonts w:cs="Arial"/>
          <w:smallCaps/>
          <w:color w:val="252525"/>
        </w:rPr>
        <w:t>James Yelling, Common Field and Enclosure in England</w:t>
      </w:r>
      <w:r w:rsidRPr="00F528E6">
        <w:rPr>
          <w:rStyle w:val="apple-converted-space"/>
          <w:rFonts w:cs="Arial"/>
          <w:smallCaps/>
          <w:color w:val="252525"/>
        </w:rPr>
        <w:t> </w:t>
      </w:r>
      <w:r w:rsidRPr="00E76FCE">
        <w:rPr>
          <w:rFonts w:cs="Arial"/>
          <w:color w:val="252525"/>
        </w:rPr>
        <w:t>1450-1850 (1977).</w:t>
      </w:r>
    </w:p>
  </w:footnote>
  <w:footnote w:id="200">
    <w:p w14:paraId="7DA912A9" w14:textId="77777777" w:rsidR="00E81370" w:rsidRPr="00016B9E" w:rsidRDefault="00E81370" w:rsidP="00C009DE">
      <w:pPr>
        <w:ind w:firstLine="0"/>
        <w:rPr>
          <w:sz w:val="20"/>
          <w:szCs w:val="20"/>
        </w:rPr>
      </w:pPr>
      <w:r w:rsidRPr="00016B9E">
        <w:rPr>
          <w:sz w:val="20"/>
          <w:szCs w:val="20"/>
          <w:vertAlign w:val="superscript"/>
        </w:rPr>
        <w:footnoteRef/>
      </w:r>
      <w:r>
        <w:rPr>
          <w:sz w:val="20"/>
          <w:szCs w:val="20"/>
          <w:shd w:val="clear" w:color="auto" w:fill="FFFFFF"/>
        </w:rPr>
        <w:t xml:space="preserve"> Felix S. Cohen, </w:t>
      </w:r>
      <w:r w:rsidRPr="00E76FCE">
        <w:rPr>
          <w:i/>
          <w:sz w:val="20"/>
          <w:szCs w:val="20"/>
          <w:shd w:val="clear" w:color="auto" w:fill="FFFFFF"/>
        </w:rPr>
        <w:t>Transcendental Nonsense and the Functional Approach</w:t>
      </w:r>
      <w:r>
        <w:rPr>
          <w:sz w:val="20"/>
          <w:szCs w:val="20"/>
          <w:shd w:val="clear" w:color="auto" w:fill="FFFFFF"/>
        </w:rPr>
        <w:t xml:space="preserve">, </w:t>
      </w:r>
      <w:r w:rsidRPr="00016B9E">
        <w:rPr>
          <w:sz w:val="20"/>
          <w:szCs w:val="20"/>
          <w:shd w:val="clear" w:color="auto" w:fill="FFFFFF"/>
        </w:rPr>
        <w:t xml:space="preserve">35 </w:t>
      </w:r>
      <w:r w:rsidRPr="00016B9E">
        <w:rPr>
          <w:smallCaps/>
          <w:sz w:val="20"/>
          <w:szCs w:val="20"/>
          <w:shd w:val="clear" w:color="auto" w:fill="FFFFFF"/>
        </w:rPr>
        <w:t>Colum. L. Rev. 809 (1935).</w:t>
      </w:r>
    </w:p>
  </w:footnote>
  <w:footnote w:id="201">
    <w:p w14:paraId="5A3DCDF0" w14:textId="77777777" w:rsidR="00E81370" w:rsidRDefault="00E81370" w:rsidP="00FA24DA">
      <w:pPr>
        <w:pStyle w:val="FootnoteText"/>
        <w:ind w:firstLine="0"/>
      </w:pPr>
      <w:r>
        <w:rPr>
          <w:rStyle w:val="FootnoteReference"/>
        </w:rPr>
        <w:footnoteRef/>
      </w:r>
      <w:r>
        <w:t xml:space="preserve"> </w:t>
      </w:r>
      <w:r w:rsidRPr="00466FC6">
        <w:rPr>
          <w:i/>
          <w:iCs/>
        </w:rPr>
        <w:t>Id</w:t>
      </w:r>
      <w:r>
        <w:t>.</w:t>
      </w:r>
    </w:p>
  </w:footnote>
  <w:footnote w:id="202">
    <w:p w14:paraId="10124370" w14:textId="77777777" w:rsidR="00E81370" w:rsidRDefault="00E81370" w:rsidP="00FA24DA">
      <w:pPr>
        <w:pStyle w:val="FootnoteText"/>
        <w:ind w:firstLine="0"/>
      </w:pPr>
      <w:r>
        <w:rPr>
          <w:rStyle w:val="FootnoteReference"/>
        </w:rPr>
        <w:footnoteRef/>
      </w:r>
      <w:r>
        <w:t xml:space="preserve"> </w:t>
      </w:r>
      <w:r w:rsidRPr="00466FC6">
        <w:rPr>
          <w:i/>
          <w:iCs/>
        </w:rPr>
        <w:t>Id</w:t>
      </w:r>
      <w:r>
        <w:rPr>
          <w:i/>
          <w:iCs/>
        </w:rPr>
        <w:t>.</w:t>
      </w:r>
      <w:r>
        <w:t xml:space="preserve"> at 812.</w:t>
      </w:r>
    </w:p>
  </w:footnote>
  <w:footnote w:id="203">
    <w:p w14:paraId="27B1CB99" w14:textId="77777777" w:rsidR="00E81370" w:rsidRPr="00016B9E" w:rsidRDefault="00E81370" w:rsidP="007F0763">
      <w:pPr>
        <w:pStyle w:val="FootnoteText"/>
        <w:ind w:firstLine="0"/>
      </w:pPr>
      <w:r w:rsidRPr="00016B9E">
        <w:rPr>
          <w:vertAlign w:val="superscript"/>
        </w:rPr>
        <w:footnoteRef/>
      </w:r>
      <w:r>
        <w:t xml:space="preserve"> William W. Fisher III</w:t>
      </w:r>
      <w:r w:rsidRPr="00E76FCE">
        <w:rPr>
          <w:i/>
        </w:rPr>
        <w:t>, The Growth of Intellectual Property: A History of Ownership of Ideas in the United States</w:t>
      </w:r>
      <w:r>
        <w:t xml:space="preserve"> 22 (1999) at </w:t>
      </w:r>
      <w:hyperlink r:id="rId17" w:history="1">
        <w:r w:rsidRPr="00F52B22">
          <w:rPr>
            <w:rStyle w:val="Hyperlink"/>
          </w:rPr>
          <w:t>http://cyber.law.harvard.edu/people/tfisher/iphistory.pdf</w:t>
        </w:r>
      </w:hyperlink>
      <w:r>
        <w:t xml:space="preserve">. </w:t>
      </w:r>
      <w:r w:rsidRPr="009342B8">
        <w:rPr>
          <w:i/>
        </w:rPr>
        <w:t>See also</w:t>
      </w:r>
      <w:r w:rsidRPr="000A373D">
        <w:t>,</w:t>
      </w:r>
      <w:r>
        <w:t xml:space="preserve"> Michael A. Carrier, </w:t>
      </w:r>
      <w:r w:rsidRPr="006F3895">
        <w:rPr>
          <w:i/>
        </w:rPr>
        <w:t>Cabining Intellectual Property Through a Property Paradigm</w:t>
      </w:r>
      <w:r>
        <w:t xml:space="preserve">. 54 </w:t>
      </w:r>
      <w:r w:rsidRPr="009342B8">
        <w:rPr>
          <w:smallCaps/>
        </w:rPr>
        <w:t>Duke L.J</w:t>
      </w:r>
      <w:r>
        <w:t xml:space="preserve">. 1 (2004); </w:t>
      </w:r>
      <w:r w:rsidRPr="00016B9E">
        <w:t xml:space="preserve">Edward C. Walterscheid, </w:t>
      </w:r>
      <w:r w:rsidRPr="00016B9E">
        <w:rPr>
          <w:i/>
          <w:iCs/>
        </w:rPr>
        <w:t>Patents and The Jeffersonian Mythology</w:t>
      </w:r>
      <w:r w:rsidRPr="00016B9E">
        <w:t xml:space="preserve">, 29 </w:t>
      </w:r>
      <w:r w:rsidRPr="00016B9E">
        <w:rPr>
          <w:smallCaps/>
        </w:rPr>
        <w:t>J. Marshall L. Rev.</w:t>
      </w:r>
      <w:r w:rsidRPr="00016B9E">
        <w:t xml:space="preserve"> 269 (1995).</w:t>
      </w:r>
    </w:p>
  </w:footnote>
  <w:footnote w:id="204">
    <w:p w14:paraId="6ADC70FD" w14:textId="77777777" w:rsidR="00E81370" w:rsidRDefault="00E81370" w:rsidP="00FA24DA">
      <w:pPr>
        <w:pStyle w:val="FootnoteText"/>
        <w:ind w:firstLine="0"/>
      </w:pPr>
      <w:r>
        <w:rPr>
          <w:rStyle w:val="FootnoteReference"/>
        </w:rPr>
        <w:footnoteRef/>
      </w:r>
      <w:r>
        <w:t xml:space="preserve"> </w:t>
      </w:r>
      <w:r w:rsidRPr="00CE27BB">
        <w:rPr>
          <w:i/>
        </w:rPr>
        <w:t>Id.</w:t>
      </w:r>
    </w:p>
  </w:footnote>
  <w:footnote w:id="205">
    <w:p w14:paraId="25E793E5" w14:textId="77777777" w:rsidR="00E81370" w:rsidRDefault="00E81370" w:rsidP="00FA24DA">
      <w:pPr>
        <w:pStyle w:val="FootnoteText"/>
        <w:ind w:firstLine="0"/>
      </w:pPr>
      <w:r>
        <w:rPr>
          <w:rStyle w:val="FootnoteReference"/>
        </w:rPr>
        <w:footnoteRef/>
      </w:r>
      <w:r>
        <w:t xml:space="preserve"> </w:t>
      </w:r>
      <w:r w:rsidRPr="00CE27BB">
        <w:rPr>
          <w:i/>
        </w:rPr>
        <w:t>Id.</w:t>
      </w:r>
      <w:r>
        <w:t xml:space="preserve"> </w:t>
      </w:r>
    </w:p>
  </w:footnote>
  <w:footnote w:id="206">
    <w:p w14:paraId="402186F1" w14:textId="77777777" w:rsidR="00E81370" w:rsidRPr="00016B9E" w:rsidRDefault="00E81370" w:rsidP="00513E27">
      <w:pPr>
        <w:pStyle w:val="FootnoteText"/>
        <w:ind w:firstLine="0"/>
      </w:pPr>
      <w:r w:rsidRPr="00016B9E">
        <w:rPr>
          <w:vertAlign w:val="superscript"/>
        </w:rPr>
        <w:footnoteRef/>
      </w:r>
      <w:r>
        <w:rPr>
          <w:i/>
        </w:rPr>
        <w:t xml:space="preserve"> </w:t>
      </w:r>
      <w:r w:rsidRPr="00E76FCE">
        <w:t>Grand Upright Music Ltd. v. Warner Bros.</w:t>
      </w:r>
      <w:r w:rsidRPr="00016B9E">
        <w:rPr>
          <w:i/>
          <w:iCs/>
        </w:rPr>
        <w:t>,</w:t>
      </w:r>
      <w:r w:rsidRPr="00016B9E">
        <w:rPr>
          <w:rFonts w:hAnsi="Arial Unicode MS"/>
          <w:i/>
          <w:iCs/>
        </w:rPr>
        <w:t> </w:t>
      </w:r>
      <w:r w:rsidRPr="00016B9E">
        <w:t>780 F.Supp. 182 (S.D.N.Y. 1991).</w:t>
      </w:r>
    </w:p>
  </w:footnote>
  <w:footnote w:id="207">
    <w:p w14:paraId="6142A1B7" w14:textId="77777777" w:rsidR="00E81370" w:rsidRPr="00ED551E" w:rsidRDefault="00E81370" w:rsidP="00116FE7">
      <w:pPr>
        <w:widowControl/>
        <w:ind w:firstLine="0"/>
        <w:rPr>
          <w:rFonts w:hAnsi="Times New Roman"/>
          <w:sz w:val="20"/>
          <w:szCs w:val="20"/>
        </w:rPr>
      </w:pPr>
      <w:r w:rsidRPr="009722F4">
        <w:rPr>
          <w:rFonts w:hAnsi="Times New Roman"/>
          <w:sz w:val="20"/>
          <w:szCs w:val="20"/>
          <w:vertAlign w:val="superscript"/>
        </w:rPr>
        <w:footnoteRef/>
      </w:r>
      <w:r>
        <w:rPr>
          <w:rFonts w:hAnsi="Times New Roman"/>
          <w:sz w:val="20"/>
          <w:szCs w:val="20"/>
          <w:lang w:val="de-DE"/>
        </w:rPr>
        <w:t xml:space="preserve"> </w:t>
      </w:r>
      <w:r w:rsidRPr="009722F4">
        <w:rPr>
          <w:rFonts w:hAnsi="Times New Roman"/>
          <w:sz w:val="20"/>
          <w:szCs w:val="20"/>
          <w:lang w:val="de-DE"/>
        </w:rPr>
        <w:t xml:space="preserve">Lynne Curry, </w:t>
      </w:r>
      <w:r w:rsidRPr="009722F4">
        <w:rPr>
          <w:rFonts w:hAnsi="Times New Roman"/>
          <w:i/>
          <w:iCs/>
          <w:sz w:val="20"/>
          <w:szCs w:val="20"/>
          <w:lang w:val="de-DE"/>
        </w:rPr>
        <w:t>Keep an Eye Out for Pirate Employees</w:t>
      </w:r>
      <w:r w:rsidRPr="009722F4">
        <w:rPr>
          <w:rFonts w:hAnsi="Times New Roman"/>
          <w:sz w:val="20"/>
          <w:szCs w:val="20"/>
          <w:lang w:val="de-DE"/>
        </w:rPr>
        <w:t xml:space="preserve">, </w:t>
      </w:r>
      <w:r w:rsidRPr="009722F4">
        <w:rPr>
          <w:rFonts w:hAnsi="Times New Roman"/>
          <w:smallCaps/>
          <w:sz w:val="20"/>
          <w:szCs w:val="20"/>
          <w:lang w:val="de-DE"/>
        </w:rPr>
        <w:t>Anchorage Daily News</w:t>
      </w:r>
      <w:r>
        <w:rPr>
          <w:rFonts w:hAnsi="Times New Roman"/>
          <w:sz w:val="20"/>
          <w:szCs w:val="20"/>
          <w:lang w:val="de-DE"/>
        </w:rPr>
        <w:t>, Feb. 23, 2014</w:t>
      </w:r>
      <w:r w:rsidRPr="009722F4">
        <w:rPr>
          <w:rFonts w:hAnsi="Times New Roman"/>
          <w:sz w:val="20"/>
          <w:szCs w:val="20"/>
          <w:lang w:val="de-DE"/>
        </w:rPr>
        <w:t>.</w:t>
      </w:r>
    </w:p>
  </w:footnote>
  <w:footnote w:id="208">
    <w:p w14:paraId="5442E556" w14:textId="77777777" w:rsidR="00E81370" w:rsidRDefault="00E81370" w:rsidP="00F57371">
      <w:pPr>
        <w:pStyle w:val="FootnoteText"/>
        <w:ind w:firstLine="0"/>
      </w:pPr>
      <w:r>
        <w:rPr>
          <w:rStyle w:val="FootnoteReference"/>
        </w:rPr>
        <w:footnoteRef/>
      </w:r>
      <w:r>
        <w:t xml:space="preserve"> Harlan M. Blake, </w:t>
      </w:r>
      <w:r w:rsidRPr="00F57371">
        <w:rPr>
          <w:i/>
          <w:iCs/>
        </w:rPr>
        <w:t>Employee Agreements Not to Compete</w:t>
      </w:r>
      <w:r>
        <w:t>,</w:t>
      </w:r>
      <w:r w:rsidRPr="004F6FD0">
        <w:t xml:space="preserve"> </w:t>
      </w:r>
      <w:r>
        <w:t xml:space="preserve">73 </w:t>
      </w:r>
      <w:r w:rsidRPr="009342B8">
        <w:rPr>
          <w:iCs/>
          <w:smallCaps/>
        </w:rPr>
        <w:t>Harv. L. R</w:t>
      </w:r>
      <w:r>
        <w:rPr>
          <w:iCs/>
          <w:smallCaps/>
        </w:rPr>
        <w:t>ev</w:t>
      </w:r>
      <w:r>
        <w:rPr>
          <w:iCs/>
        </w:rPr>
        <w:t>.</w:t>
      </w:r>
      <w:r>
        <w:t xml:space="preserve"> 625</w:t>
      </w:r>
      <w:r w:rsidRPr="004F6FD0">
        <w:t xml:space="preserve"> (1960).</w:t>
      </w:r>
    </w:p>
  </w:footnote>
  <w:footnote w:id="209">
    <w:p w14:paraId="2564F7C0" w14:textId="77777777" w:rsidR="00E81370" w:rsidRPr="005B3D1C" w:rsidRDefault="00E81370" w:rsidP="009342B8">
      <w:pPr>
        <w:pStyle w:val="FootnoteText"/>
        <w:ind w:firstLine="0"/>
      </w:pPr>
      <w:r>
        <w:rPr>
          <w:rStyle w:val="FootnoteReference"/>
        </w:rPr>
        <w:footnoteRef/>
      </w:r>
      <w:r>
        <w:t xml:space="preserve"> </w:t>
      </w:r>
      <w:r w:rsidRPr="005B3D1C">
        <w:rPr>
          <w:smallCaps/>
        </w:rPr>
        <w:t>Gary S. Becker, Human Capital: A Theoretical and Empirical Analysis, with Special Reference to Education</w:t>
      </w:r>
      <w:r w:rsidRPr="005B3D1C">
        <w:t xml:space="preserve"> (2d ed. 1975</w:t>
      </w:r>
      <w:r>
        <w:t>).</w:t>
      </w:r>
    </w:p>
  </w:footnote>
  <w:footnote w:id="210">
    <w:p w14:paraId="2D813C9F" w14:textId="77777777" w:rsidR="00E81370" w:rsidRPr="0011236B" w:rsidRDefault="00E81370" w:rsidP="00FA24DA">
      <w:pPr>
        <w:pStyle w:val="FootnoteText"/>
        <w:ind w:firstLine="0"/>
      </w:pPr>
      <w:r>
        <w:rPr>
          <w:rStyle w:val="FootnoteReference"/>
        </w:rPr>
        <w:footnoteRef/>
      </w:r>
      <w:r>
        <w:t xml:space="preserve"> Glick et al., </w:t>
      </w:r>
      <w:r>
        <w:rPr>
          <w:i/>
        </w:rPr>
        <w:t xml:space="preserve">supra </w:t>
      </w:r>
      <w:r>
        <w:t xml:space="preserve">note </w:t>
      </w:r>
      <w:r>
        <w:fldChar w:fldCharType="begin"/>
      </w:r>
      <w:r>
        <w:instrText xml:space="preserve"> NOTEREF _Ref266780080 \h </w:instrText>
      </w:r>
      <w:r>
        <w:fldChar w:fldCharType="separate"/>
      </w:r>
      <w:r w:rsidR="0039144E">
        <w:t>1</w:t>
      </w:r>
      <w:r>
        <w:fldChar w:fldCharType="end"/>
      </w:r>
      <w:r>
        <w:t xml:space="preserve">; Rubin &amp; Shedd, </w:t>
      </w:r>
      <w:r>
        <w:rPr>
          <w:i/>
        </w:rPr>
        <w:t>supra</w:t>
      </w:r>
      <w:r>
        <w:t xml:space="preserve"> note </w:t>
      </w:r>
      <w:r>
        <w:fldChar w:fldCharType="begin"/>
      </w:r>
      <w:r>
        <w:instrText xml:space="preserve"> NOTEREF _Ref266780080 \h </w:instrText>
      </w:r>
      <w:r>
        <w:fldChar w:fldCharType="separate"/>
      </w:r>
      <w:r w:rsidR="0039144E">
        <w:t>1</w:t>
      </w:r>
      <w:r>
        <w:fldChar w:fldCharType="end"/>
      </w:r>
      <w:r>
        <w:t xml:space="preserve">; Eric A. Posner et al., </w:t>
      </w:r>
      <w:r w:rsidRPr="0011236B">
        <w:rPr>
          <w:i/>
        </w:rPr>
        <w:t>Investing in Human Capital: The Efficiency of Covenants Not to Compete</w:t>
      </w:r>
      <w:r w:rsidRPr="0011236B">
        <w:t xml:space="preserve"> (University of Chicago Law &amp; Economics, Olin Working Paper No. 137; University of Virginia Law &amp; Economics Research Paper No. 01-08</w:t>
      </w:r>
      <w:r>
        <w:t>, 2004).</w:t>
      </w:r>
    </w:p>
  </w:footnote>
  <w:footnote w:id="211">
    <w:p w14:paraId="51FF5842" w14:textId="77777777" w:rsidR="00E81370" w:rsidRPr="00D76F22" w:rsidRDefault="00E81370" w:rsidP="003552A6">
      <w:pPr>
        <w:pStyle w:val="FootnoteText"/>
        <w:ind w:firstLine="0"/>
      </w:pPr>
      <w:r w:rsidRPr="00D76F22">
        <w:rPr>
          <w:rStyle w:val="FootnoteReference"/>
        </w:rPr>
        <w:footnoteRef/>
      </w:r>
      <w:r>
        <w:rPr>
          <w:shd w:val="clear" w:color="auto" w:fill="FFFFFF"/>
        </w:rPr>
        <w:t xml:space="preserve"> Mark A. Lemley &amp; Brett Frischmann, </w:t>
      </w:r>
      <w:r w:rsidRPr="00E76FCE">
        <w:rPr>
          <w:i/>
          <w:shd w:val="clear" w:color="auto" w:fill="FFFFFF"/>
        </w:rPr>
        <w:t>Spillovers</w:t>
      </w:r>
      <w:r>
        <w:rPr>
          <w:shd w:val="clear" w:color="auto" w:fill="FFFFFF"/>
        </w:rPr>
        <w:t xml:space="preserve">, 100 </w:t>
      </w:r>
      <w:r w:rsidRPr="009342B8">
        <w:rPr>
          <w:smallCaps/>
          <w:shd w:val="clear" w:color="auto" w:fill="FFFFFF"/>
        </w:rPr>
        <w:t>Colum L. Rev</w:t>
      </w:r>
      <w:r>
        <w:rPr>
          <w:shd w:val="clear" w:color="auto" w:fill="FFFFFF"/>
        </w:rPr>
        <w:t>. (2006).</w:t>
      </w:r>
    </w:p>
  </w:footnote>
  <w:footnote w:id="212">
    <w:p w14:paraId="4BE9B42B" w14:textId="77777777" w:rsidR="00E81370" w:rsidRDefault="00E81370" w:rsidP="00FA24DA">
      <w:pPr>
        <w:pStyle w:val="FootnoteText"/>
        <w:ind w:firstLine="0"/>
      </w:pPr>
      <w:r>
        <w:rPr>
          <w:rStyle w:val="FootnoteReference"/>
        </w:rPr>
        <w:footnoteRef/>
      </w:r>
      <w:r>
        <w:t xml:space="preserve"> </w:t>
      </w:r>
      <w:r w:rsidRPr="000D0466">
        <w:rPr>
          <w:i/>
          <w:iCs/>
        </w:rPr>
        <w:t>Id</w:t>
      </w:r>
      <w:r>
        <w:t>.</w:t>
      </w:r>
    </w:p>
  </w:footnote>
  <w:footnote w:id="213">
    <w:p w14:paraId="5FB1A771" w14:textId="77777777" w:rsidR="00E81370" w:rsidRPr="009722F4" w:rsidRDefault="00E81370" w:rsidP="009F1C93">
      <w:pPr>
        <w:pStyle w:val="FootnoteText"/>
        <w:ind w:firstLine="0"/>
      </w:pPr>
      <w:r w:rsidRPr="00EE09BC">
        <w:rPr>
          <w:rStyle w:val="FootnoteReference"/>
        </w:rPr>
        <w:footnoteRef/>
      </w:r>
      <w:r w:rsidRPr="00EE09BC">
        <w:t xml:space="preserve"> </w:t>
      </w:r>
      <w:r w:rsidRPr="00EE09BC">
        <w:rPr>
          <w:bCs/>
          <w:color w:val="auto"/>
          <w:bdr w:val="none" w:sz="0" w:space="0" w:color="auto"/>
          <w:lang w:bidi="he-IL"/>
        </w:rPr>
        <w:t xml:space="preserve">Thomas Jefferson to Isaac McPherson </w:t>
      </w:r>
      <w:r w:rsidRPr="00EE09BC">
        <w:rPr>
          <w:bdr w:val="none" w:sz="0" w:space="0" w:color="auto"/>
          <w:shd w:val="clear" w:color="auto" w:fill="FFFFFF"/>
          <w:lang w:bidi="he-IL"/>
        </w:rPr>
        <w:t xml:space="preserve">13 Aug. 1813 </w:t>
      </w:r>
      <w:r w:rsidRPr="00EE09BC">
        <w:rPr>
          <w:i/>
          <w:iCs/>
          <w:bdr w:val="none" w:sz="0" w:space="0" w:color="auto"/>
          <w:shd w:val="clear" w:color="auto" w:fill="FFFFFF"/>
          <w:lang w:bidi="he-IL"/>
        </w:rPr>
        <w:t>Writings 13:333</w:t>
      </w:r>
      <w:r>
        <w:rPr>
          <w:i/>
          <w:iCs/>
          <w:bdr w:val="none" w:sz="0" w:space="0" w:color="auto"/>
          <w:shd w:val="clear" w:color="auto" w:fill="FFFFFF"/>
          <w:lang w:bidi="he-IL"/>
        </w:rPr>
        <w:t xml:space="preserve">--35. </w:t>
      </w:r>
    </w:p>
  </w:footnote>
  <w:footnote w:id="214">
    <w:p w14:paraId="3D718161" w14:textId="77777777" w:rsidR="00E81370" w:rsidRPr="00D93887" w:rsidRDefault="00E81370" w:rsidP="0052688E">
      <w:pPr>
        <w:pStyle w:val="FootnoteText"/>
        <w:ind w:firstLine="0"/>
      </w:pPr>
      <w:r w:rsidRPr="00D93887">
        <w:rPr>
          <w:vertAlign w:val="superscript"/>
        </w:rPr>
        <w:footnoteRef/>
      </w:r>
      <w:r w:rsidRPr="00D93887">
        <w:t xml:space="preserve"> Matt Marx, Deborah Strumsky, &amp; Lee Fleming, </w:t>
      </w:r>
      <w:r w:rsidRPr="007805F5">
        <w:rPr>
          <w:i/>
          <w:iCs/>
        </w:rPr>
        <w:t>Mobility, Skills, and th</w:t>
      </w:r>
      <w:r w:rsidRPr="008C26BA">
        <w:rPr>
          <w:i/>
          <w:iCs/>
        </w:rPr>
        <w:t>e Michigan Non-compete Experiment</w:t>
      </w:r>
      <w:r w:rsidRPr="00E76FCE">
        <w:t xml:space="preserve">, 55 </w:t>
      </w:r>
      <w:r w:rsidRPr="00E76FCE">
        <w:rPr>
          <w:smallCaps/>
        </w:rPr>
        <w:t>Mgmt. Sci.</w:t>
      </w:r>
      <w:r>
        <w:t xml:space="preserve"> 875-889 (2011).</w:t>
      </w:r>
    </w:p>
  </w:footnote>
  <w:footnote w:id="215">
    <w:p w14:paraId="467D2C39" w14:textId="77777777" w:rsidR="00E81370" w:rsidRPr="00D93887" w:rsidRDefault="00E81370" w:rsidP="0052688E">
      <w:pPr>
        <w:pStyle w:val="FootnoteText"/>
        <w:ind w:firstLine="0"/>
      </w:pPr>
      <w:r w:rsidRPr="00D93887">
        <w:rPr>
          <w:vertAlign w:val="superscript"/>
        </w:rPr>
        <w:footnoteRef/>
      </w:r>
      <w:r>
        <w:t xml:space="preserve"> </w:t>
      </w:r>
      <w:r w:rsidRPr="00D93887">
        <w:t>Sampsa</w:t>
      </w:r>
      <w:r>
        <w:t xml:space="preserve"> </w:t>
      </w:r>
      <w:r w:rsidRPr="00D93887">
        <w:t>Samila</w:t>
      </w:r>
      <w:r>
        <w:t xml:space="preserve"> </w:t>
      </w:r>
      <w:r w:rsidRPr="00D93887">
        <w:t xml:space="preserve">&amp; Olav Sorenson, </w:t>
      </w:r>
      <w:r w:rsidRPr="007805F5">
        <w:rPr>
          <w:i/>
          <w:iCs/>
        </w:rPr>
        <w:t>Non-Compete Covenants: Incentives to Innovate or Impediments to Growth</w:t>
      </w:r>
      <w:r w:rsidRPr="00E76FCE">
        <w:t xml:space="preserve">, 57 </w:t>
      </w:r>
      <w:r w:rsidRPr="00E76FCE">
        <w:rPr>
          <w:smallCaps/>
        </w:rPr>
        <w:t>Mgmt. Sci. 425</w:t>
      </w:r>
      <w:r>
        <w:t xml:space="preserve"> (2010); </w:t>
      </w:r>
      <w:r w:rsidRPr="00D93887">
        <w:t xml:space="preserve">Paul Almeida &amp; Bruce Kogut, </w:t>
      </w:r>
      <w:r w:rsidRPr="007805F5">
        <w:rPr>
          <w:i/>
          <w:iCs/>
        </w:rPr>
        <w:t>Localization of Knowledge and Mobility of Engineers in</w:t>
      </w:r>
      <w:r w:rsidRPr="00016B9E">
        <w:rPr>
          <w:i/>
          <w:iCs/>
        </w:rPr>
        <w:t xml:space="preserve"> </w:t>
      </w:r>
      <w:r w:rsidRPr="004D7125">
        <w:rPr>
          <w:i/>
          <w:iCs/>
        </w:rPr>
        <w:t>Regional Networks</w:t>
      </w:r>
      <w:r w:rsidRPr="004D7125">
        <w:t xml:space="preserve">, 45 </w:t>
      </w:r>
      <w:r w:rsidRPr="004D7125">
        <w:rPr>
          <w:smallCaps/>
        </w:rPr>
        <w:t>Mgmt. Sci.</w:t>
      </w:r>
      <w:r>
        <w:t xml:space="preserve"> 905-917 (1999); </w:t>
      </w:r>
      <w:r w:rsidRPr="00D93887">
        <w:t xml:space="preserve">Lee Fleming &amp; Koen Frenken, </w:t>
      </w:r>
      <w:r w:rsidRPr="007805F5">
        <w:rPr>
          <w:i/>
          <w:iCs/>
        </w:rPr>
        <w:t xml:space="preserve">The Evolution of Inventor </w:t>
      </w:r>
      <w:r w:rsidRPr="008C26BA">
        <w:rPr>
          <w:i/>
          <w:iCs/>
        </w:rPr>
        <w:t>Networks in the Silicon Valley and Boston Regions</w:t>
      </w:r>
      <w:r w:rsidRPr="00E76FCE">
        <w:t xml:space="preserve">, </w:t>
      </w:r>
      <w:r w:rsidRPr="00E76FCE">
        <w:rPr>
          <w:smallCaps/>
        </w:rPr>
        <w:t>Advances in Complex Sys.,</w:t>
      </w:r>
      <w:r w:rsidRPr="00E76FCE">
        <w:t xml:space="preserve"> 57-71 (2007); Jiang He &amp; M. Hosein</w:t>
      </w:r>
      <w:r>
        <w:t xml:space="preserve"> </w:t>
      </w:r>
      <w:r w:rsidRPr="00E76FCE">
        <w:t xml:space="preserve">Fallah, </w:t>
      </w:r>
      <w:r w:rsidRPr="00E76FCE">
        <w:rPr>
          <w:i/>
          <w:iCs/>
        </w:rPr>
        <w:t>Is Inventor Network Structure a Predictor of Cluster Evolution?</w:t>
      </w:r>
      <w:r w:rsidRPr="00E76FCE">
        <w:rPr>
          <w:iCs/>
        </w:rPr>
        <w:t>,</w:t>
      </w:r>
      <w:r>
        <w:rPr>
          <w:iCs/>
        </w:rPr>
        <w:t xml:space="preserve"> </w:t>
      </w:r>
      <w:r w:rsidRPr="00E76FCE">
        <w:rPr>
          <w:smallCaps/>
        </w:rPr>
        <w:t>J.</w:t>
      </w:r>
      <w:r>
        <w:rPr>
          <w:smallCaps/>
        </w:rPr>
        <w:t xml:space="preserve"> </w:t>
      </w:r>
      <w:r w:rsidRPr="00E76FCE">
        <w:rPr>
          <w:smallCaps/>
        </w:rPr>
        <w:t>Tech. Forecasting &amp; Soc. Change</w:t>
      </w:r>
      <w:r w:rsidRPr="00E76FCE">
        <w:t xml:space="preserve"> (2009).</w:t>
      </w:r>
    </w:p>
  </w:footnote>
  <w:footnote w:id="216">
    <w:p w14:paraId="4B165335" w14:textId="77777777" w:rsidR="00E81370" w:rsidRDefault="00E81370" w:rsidP="000D0466">
      <w:pPr>
        <w:pStyle w:val="FootnoteText"/>
        <w:ind w:firstLine="0"/>
      </w:pPr>
      <w:r>
        <w:rPr>
          <w:rStyle w:val="FootnoteReference"/>
        </w:rPr>
        <w:footnoteRef/>
      </w:r>
      <w:r>
        <w:t xml:space="preserve"> </w:t>
      </w:r>
      <w:r w:rsidRPr="008C26BA">
        <w:t>Tomas Havranek</w:t>
      </w:r>
      <w:r>
        <w:t xml:space="preserve"> </w:t>
      </w:r>
      <w:r w:rsidRPr="008C26BA">
        <w:t>&amp;</w:t>
      </w:r>
      <w:r>
        <w:t xml:space="preserve"> </w:t>
      </w:r>
      <w:r w:rsidRPr="008C26BA">
        <w:t xml:space="preserve">ZuzanaIrsova, </w:t>
      </w:r>
      <w:r w:rsidRPr="008C26BA">
        <w:rPr>
          <w:i/>
          <w:iCs/>
        </w:rPr>
        <w:t>Estimating Vertical Spillovers from FDI: Why Results Vary and What the True Effect Is</w:t>
      </w:r>
      <w:r w:rsidRPr="008C26BA">
        <w:t xml:space="preserve">, 85 </w:t>
      </w:r>
      <w:r w:rsidRPr="008C26BA">
        <w:rPr>
          <w:smallCaps/>
        </w:rPr>
        <w:t>J.Int</w:t>
      </w:r>
      <w:r w:rsidRPr="00E76FCE">
        <w:rPr>
          <w:smallCaps/>
        </w:rPr>
        <w:t>’</w:t>
      </w:r>
      <w:r w:rsidRPr="008C26BA">
        <w:rPr>
          <w:smallCaps/>
        </w:rPr>
        <w:t xml:space="preserve">l Econ. </w:t>
      </w:r>
      <w:r w:rsidRPr="008C26BA">
        <w:t>2 (2011); David B. Audretsch</w:t>
      </w:r>
      <w:r>
        <w:t xml:space="preserve"> </w:t>
      </w:r>
      <w:r w:rsidRPr="008C26BA">
        <w:t xml:space="preserve">&amp; Maryann P. Feldman, </w:t>
      </w:r>
      <w:r w:rsidRPr="00E76FCE">
        <w:rPr>
          <w:i/>
          <w:iCs/>
        </w:rPr>
        <w:t>R&amp;D Spillovers and the Geography of Innovation and Production</w:t>
      </w:r>
      <w:r w:rsidRPr="00E76FCE">
        <w:t xml:space="preserve">, 86 </w:t>
      </w:r>
      <w:r w:rsidRPr="00E76FCE">
        <w:rPr>
          <w:smallCaps/>
        </w:rPr>
        <w:t>Am. Econ.</w:t>
      </w:r>
      <w:r>
        <w:rPr>
          <w:smallCaps/>
        </w:rPr>
        <w:t xml:space="preserve"> </w:t>
      </w:r>
      <w:r w:rsidRPr="00E76FCE">
        <w:rPr>
          <w:smallCaps/>
        </w:rPr>
        <w:t>Rev.</w:t>
      </w:r>
      <w:r w:rsidRPr="00E76FCE">
        <w:t xml:space="preserve"> 3 (1996).</w:t>
      </w:r>
    </w:p>
  </w:footnote>
  <w:footnote w:id="217">
    <w:p w14:paraId="3283038D" w14:textId="77777777" w:rsidR="00E81370" w:rsidRDefault="00E81370" w:rsidP="00116FE7">
      <w:pPr>
        <w:pStyle w:val="FootnoteText"/>
        <w:ind w:firstLine="0"/>
      </w:pPr>
      <w:r>
        <w:rPr>
          <w:rStyle w:val="FootnoteReference"/>
        </w:rPr>
        <w:footnoteRef/>
      </w:r>
      <w:r>
        <w:t xml:space="preserve"> </w:t>
      </w:r>
      <w:r w:rsidRPr="00E76FCE">
        <w:t xml:space="preserve">Paul Almeida &amp; Bruce Kogut, </w:t>
      </w:r>
      <w:r w:rsidRPr="00E76FCE">
        <w:rPr>
          <w:i/>
          <w:iCs/>
        </w:rPr>
        <w:t>Localization of Knowledge and the Mobility of Engineers in Regional Networks</w:t>
      </w:r>
      <w:r w:rsidRPr="00E76FCE">
        <w:t xml:space="preserve">, 45 </w:t>
      </w:r>
      <w:r w:rsidRPr="00E76FCE">
        <w:rPr>
          <w:smallCaps/>
        </w:rPr>
        <w:t>Mgmt.  Sci.</w:t>
      </w:r>
      <w:r>
        <w:rPr>
          <w:smallCaps/>
        </w:rPr>
        <w:t xml:space="preserve"> </w:t>
      </w:r>
      <w:r>
        <w:t>905, 915 (1999)</w:t>
      </w:r>
      <w:r w:rsidRPr="00E76FCE">
        <w:t xml:space="preserve">; Georg von Graevenitz, </w:t>
      </w:r>
      <w:r w:rsidRPr="00E76FCE">
        <w:rPr>
          <w:i/>
          <w:iCs/>
        </w:rPr>
        <w:t>Spillovers Reconsidered: Analyzing Economic Welfare Under Complementarities in R&amp;D,</w:t>
      </w:r>
      <w:r w:rsidRPr="00E76FCE">
        <w:t xml:space="preserve"> 16 (Governance and the Efficiency of Economic Systems, Discussion Paper No.  29, 2004), </w:t>
      </w:r>
      <w:r w:rsidRPr="00E76FCE">
        <w:rPr>
          <w:i/>
          <w:iCs/>
        </w:rPr>
        <w:t>available at</w:t>
      </w:r>
      <w:r>
        <w:rPr>
          <w:i/>
          <w:iCs/>
        </w:rPr>
        <w:t xml:space="preserve"> </w:t>
      </w:r>
      <w:hyperlink r:id="rId18" w:history="1">
        <w:r w:rsidRPr="00E76FCE">
          <w:rPr>
            <w:rStyle w:val="Hyperlink1"/>
          </w:rPr>
          <w:t>http://papers.ssrn.com/sol3/papers.cfm?abstract_id=625142</w:t>
        </w:r>
      </w:hyperlink>
      <w:r w:rsidRPr="00E76FCE">
        <w:t>.</w:t>
      </w:r>
    </w:p>
  </w:footnote>
  <w:footnote w:id="218">
    <w:p w14:paraId="672C1641" w14:textId="77777777" w:rsidR="00E81370" w:rsidRPr="007805F5" w:rsidRDefault="00E81370" w:rsidP="00116FE7">
      <w:pPr>
        <w:pStyle w:val="FootnoteText"/>
        <w:ind w:firstLine="0"/>
      </w:pPr>
      <w:r w:rsidRPr="007805F5">
        <w:rPr>
          <w:vertAlign w:val="superscript"/>
        </w:rPr>
        <w:footnoteRef/>
      </w:r>
      <w:r>
        <w:t xml:space="preserve"> </w:t>
      </w:r>
      <w:r w:rsidRPr="007805F5">
        <w:t xml:space="preserve">Paul M. Romer, </w:t>
      </w:r>
      <w:r w:rsidRPr="007805F5">
        <w:rPr>
          <w:i/>
          <w:iCs/>
        </w:rPr>
        <w:t>Increasing Returns and Long-Run Growth</w:t>
      </w:r>
      <w:r w:rsidRPr="007805F5">
        <w:t>, 94</w:t>
      </w:r>
      <w:r w:rsidRPr="007805F5">
        <w:rPr>
          <w:smallCaps/>
        </w:rPr>
        <w:t xml:space="preserve"> J. Pol. Econ</w:t>
      </w:r>
      <w:r w:rsidRPr="007805F5">
        <w:t xml:space="preserve">.1002-1037 (1986); Robert Lucas, </w:t>
      </w:r>
      <w:r w:rsidRPr="007805F5">
        <w:rPr>
          <w:i/>
          <w:iCs/>
        </w:rPr>
        <w:t>Why Doesn</w:t>
      </w:r>
      <w:r w:rsidRPr="00E76FCE">
        <w:rPr>
          <w:i/>
          <w:iCs/>
        </w:rPr>
        <w:t>’</w:t>
      </w:r>
      <w:r w:rsidRPr="007805F5">
        <w:rPr>
          <w:i/>
          <w:iCs/>
        </w:rPr>
        <w:t>t Capital Flow from Rich to Poor Countries</w:t>
      </w:r>
      <w:r w:rsidRPr="008C26BA">
        <w:t xml:space="preserve">, 80 </w:t>
      </w:r>
      <w:r w:rsidRPr="008C26BA">
        <w:rPr>
          <w:smallCaps/>
        </w:rPr>
        <w:t>Am. Econ. Rev</w:t>
      </w:r>
      <w:r>
        <w:t>. 92-96 (1990).</w:t>
      </w:r>
      <w:r w:rsidRPr="00E76FCE">
        <w:t xml:space="preserve"> </w:t>
      </w:r>
    </w:p>
  </w:footnote>
  <w:footnote w:id="219">
    <w:p w14:paraId="215EBA3F" w14:textId="77777777" w:rsidR="00E81370" w:rsidRPr="007805F5" w:rsidRDefault="00E81370" w:rsidP="00932D97">
      <w:pPr>
        <w:pStyle w:val="FootnoteText"/>
        <w:ind w:firstLine="0"/>
      </w:pPr>
      <w:r w:rsidRPr="00E76FCE">
        <w:rPr>
          <w:vertAlign w:val="superscript"/>
        </w:rPr>
        <w:footnoteRef/>
      </w:r>
      <w:r w:rsidRPr="00E76FCE">
        <w:t xml:space="preserve"> Paul M. Romer, </w:t>
      </w:r>
      <w:r w:rsidRPr="00E76FCE">
        <w:rPr>
          <w:i/>
          <w:iCs/>
        </w:rPr>
        <w:t>Endogenous Technological Change</w:t>
      </w:r>
      <w:r w:rsidRPr="00E76FCE">
        <w:t xml:space="preserve">, 98 </w:t>
      </w:r>
      <w:r w:rsidRPr="00E76FCE">
        <w:rPr>
          <w:smallCaps/>
        </w:rPr>
        <w:t>J. Pol.Econ.</w:t>
      </w:r>
      <w:r w:rsidRPr="00E76FCE">
        <w:t>71 (1990); Paul M.</w:t>
      </w:r>
      <w:r>
        <w:t xml:space="preserve"> </w:t>
      </w:r>
      <w:r w:rsidRPr="00E76FCE">
        <w:t xml:space="preserve">Romer, </w:t>
      </w:r>
      <w:r w:rsidRPr="00E76FCE">
        <w:rPr>
          <w:i/>
          <w:iCs/>
        </w:rPr>
        <w:t>The Origins of Endogenous Economic Growth</w:t>
      </w:r>
      <w:r w:rsidRPr="00E76FCE">
        <w:t xml:space="preserve">, 8 </w:t>
      </w:r>
      <w:r w:rsidRPr="00E76FCE">
        <w:rPr>
          <w:smallCaps/>
        </w:rPr>
        <w:t xml:space="preserve">J. Econ. Perp. </w:t>
      </w:r>
      <w:r w:rsidRPr="00E76FCE">
        <w:t>3 (1994).</w:t>
      </w:r>
    </w:p>
  </w:footnote>
  <w:footnote w:id="220">
    <w:p w14:paraId="4A1BB550" w14:textId="77777777" w:rsidR="00E81370" w:rsidRDefault="00E81370" w:rsidP="00932D97">
      <w:pPr>
        <w:pStyle w:val="FootnoteText"/>
        <w:ind w:firstLine="0"/>
      </w:pPr>
      <w:r>
        <w:rPr>
          <w:rStyle w:val="FootnoteReference"/>
        </w:rPr>
        <w:footnoteRef/>
      </w:r>
      <w:r>
        <w:t xml:space="preserve"> </w:t>
      </w:r>
      <w:r w:rsidRPr="009342B8">
        <w:rPr>
          <w:smallCaps/>
        </w:rPr>
        <w:t>Charles Jones, Human Capital, Ideas and Economic Growth</w:t>
      </w:r>
      <w:r w:rsidRPr="00E76FCE">
        <w:t xml:space="preserve"> (2006).  </w:t>
      </w:r>
    </w:p>
  </w:footnote>
  <w:footnote w:id="221">
    <w:p w14:paraId="2407A145" w14:textId="77777777" w:rsidR="00E81370" w:rsidRPr="004D7125" w:rsidRDefault="00E81370" w:rsidP="00764BBF">
      <w:pPr>
        <w:pStyle w:val="FootnoteText"/>
        <w:ind w:firstLine="0"/>
      </w:pPr>
      <w:r w:rsidRPr="004D7125">
        <w:rPr>
          <w:vertAlign w:val="superscript"/>
        </w:rPr>
        <w:footnoteRef/>
      </w:r>
      <w:r w:rsidRPr="004D7125">
        <w:t xml:space="preserve">Nicholas Bloom et al., </w:t>
      </w:r>
      <w:r w:rsidRPr="00D93887">
        <w:rPr>
          <w:i/>
          <w:iCs/>
        </w:rPr>
        <w:t>Identifying Technology Spillovers and Product Market Rivalry</w:t>
      </w:r>
      <w:r w:rsidRPr="00D93887">
        <w:t xml:space="preserve">, </w:t>
      </w:r>
      <w:r w:rsidRPr="00E76FCE">
        <w:rPr>
          <w:smallCaps/>
        </w:rPr>
        <w:t>Natural Bureau of Econ.</w:t>
      </w:r>
      <w:r>
        <w:rPr>
          <w:smallCaps/>
        </w:rPr>
        <w:t xml:space="preserve"> </w:t>
      </w:r>
      <w:r w:rsidRPr="00E76FCE">
        <w:rPr>
          <w:smallCaps/>
        </w:rPr>
        <w:t>Res.</w:t>
      </w:r>
      <w:r w:rsidRPr="00E76FCE">
        <w:t xml:space="preserve"> (2007).</w:t>
      </w:r>
    </w:p>
  </w:footnote>
  <w:footnote w:id="222">
    <w:p w14:paraId="53C29A6C" w14:textId="77777777" w:rsidR="00E81370" w:rsidRPr="008C26BA" w:rsidRDefault="00E81370" w:rsidP="000D0466">
      <w:pPr>
        <w:pStyle w:val="FootnoteText"/>
        <w:ind w:firstLine="0"/>
      </w:pPr>
      <w:r w:rsidRPr="008C26BA">
        <w:rPr>
          <w:vertAlign w:val="superscript"/>
        </w:rPr>
        <w:footnoteRef/>
      </w:r>
      <w:r w:rsidRPr="008C26BA">
        <w:t xml:space="preserve"> Michael Heller, </w:t>
      </w:r>
      <w:r w:rsidRPr="008C26BA">
        <w:rPr>
          <w:i/>
          <w:iCs/>
        </w:rPr>
        <w:t>The Tragedy of Anti-Commons</w:t>
      </w:r>
      <w:r w:rsidRPr="008C26BA">
        <w:t xml:space="preserve">, 111 </w:t>
      </w:r>
      <w:r w:rsidRPr="008C26BA">
        <w:rPr>
          <w:smallCaps/>
        </w:rPr>
        <w:t>Harv. L. Rev</w:t>
      </w:r>
      <w:r w:rsidRPr="008C26BA">
        <w:t xml:space="preserve">. 621 (1998). </w:t>
      </w:r>
    </w:p>
  </w:footnote>
  <w:footnote w:id="223">
    <w:p w14:paraId="6BAB1093" w14:textId="77777777" w:rsidR="00E81370" w:rsidRPr="009722F4" w:rsidRDefault="00E81370" w:rsidP="0052688E">
      <w:pPr>
        <w:pStyle w:val="FootnoteText"/>
        <w:ind w:firstLine="0"/>
      </w:pPr>
      <w:r w:rsidRPr="00EE09BC">
        <w:rPr>
          <w:rStyle w:val="FootnoteReference"/>
        </w:rPr>
        <w:footnoteRef/>
      </w:r>
      <w:r w:rsidRPr="00EE09BC">
        <w:rPr>
          <w:iCs/>
        </w:rPr>
        <w:t>Motion Picture Patents Co. v. Universal Film Mfg. Co.</w:t>
      </w:r>
      <w:r w:rsidRPr="00EE09BC">
        <w:t xml:space="preserve">, 243 U.S. 502, 511 (1917); </w:t>
      </w:r>
      <w:r w:rsidRPr="00EE09BC">
        <w:rPr>
          <w:iCs/>
        </w:rPr>
        <w:t xml:space="preserve">Quanta Computer, Inc. v. LG Elecs., Inc., </w:t>
      </w:r>
      <w:r w:rsidRPr="00EE09BC">
        <w:t xml:space="preserve">553 U.S. 617, 626 (2008); </w:t>
      </w:r>
      <w:r w:rsidRPr="00EE09BC">
        <w:rPr>
          <w:iCs/>
        </w:rPr>
        <w:t>Bilski</w:t>
      </w:r>
      <w:r w:rsidRPr="00EE09BC">
        <w:t>, 130 S. Ct. at 3252.</w:t>
      </w:r>
    </w:p>
  </w:footnote>
  <w:footnote w:id="224">
    <w:p w14:paraId="1CA7D476" w14:textId="77777777" w:rsidR="00E81370" w:rsidRPr="009722F4" w:rsidRDefault="00E81370" w:rsidP="00D93C0D">
      <w:pPr>
        <w:pStyle w:val="FootnoteText"/>
        <w:ind w:firstLine="0"/>
      </w:pPr>
      <w:r w:rsidRPr="00EE09BC">
        <w:rPr>
          <w:vertAlign w:val="superscript"/>
        </w:rPr>
        <w:footnoteRef/>
      </w:r>
      <w:r w:rsidRPr="00EE09BC">
        <w:t xml:space="preserve"> </w:t>
      </w:r>
      <w:hyperlink r:id="rId19" w:history="1">
        <w:r w:rsidRPr="00EE09BC">
          <w:rPr>
            <w:rStyle w:val="Hyperlink2"/>
          </w:rPr>
          <w:t>Kewanee Oil Co. v. Bicron Corp., 416 U.S. 470, 484 (1974)</w:t>
        </w:r>
      </w:hyperlink>
      <w:r w:rsidRPr="00EE09BC">
        <w:t>.</w:t>
      </w:r>
    </w:p>
  </w:footnote>
  <w:footnote w:id="225">
    <w:p w14:paraId="6D8E6C7C" w14:textId="77777777" w:rsidR="00E81370" w:rsidRPr="009722F4" w:rsidRDefault="00E81370" w:rsidP="00D93C0D">
      <w:pPr>
        <w:pStyle w:val="FootnoteText"/>
        <w:ind w:firstLine="0"/>
      </w:pPr>
      <w:r w:rsidRPr="00EE09BC">
        <w:rPr>
          <w:vertAlign w:val="superscript"/>
        </w:rPr>
        <w:footnoteRef/>
      </w:r>
      <w:r>
        <w:t xml:space="preserve"> </w:t>
      </w:r>
      <w:hyperlink r:id="rId20" w:history="1">
        <w:r w:rsidRPr="00EE09BC">
          <w:rPr>
            <w:rStyle w:val="Hyperlink2"/>
            <w:rFonts w:hAnsi="Arial Unicode MS"/>
          </w:rPr>
          <w:t>U.S. Const. art. I</w:t>
        </w:r>
        <w:r w:rsidRPr="00EE09BC">
          <w:rPr>
            <w:rStyle w:val="Hyperlink2"/>
          </w:rPr>
          <w:t xml:space="preserve">, </w:t>
        </w:r>
        <w:r w:rsidRPr="00F528E6">
          <w:rPr>
            <w:b/>
          </w:rPr>
          <w:t>§</w:t>
        </w:r>
        <w:r>
          <w:rPr>
            <w:b/>
          </w:rPr>
          <w:t xml:space="preserve"> 8, </w:t>
        </w:r>
        <w:r w:rsidRPr="00EE09BC">
          <w:rPr>
            <w:rStyle w:val="Hyperlink2"/>
            <w:rFonts w:hAnsi="Arial Unicode MS"/>
          </w:rPr>
          <w:t>cl. 8</w:t>
        </w:r>
      </w:hyperlink>
      <w:r w:rsidRPr="00EE09BC">
        <w:t xml:space="preserve">; </w:t>
      </w:r>
      <w:hyperlink r:id="rId21" w:history="1">
        <w:r w:rsidRPr="00EE09BC">
          <w:rPr>
            <w:rStyle w:val="Hyperlink2"/>
          </w:rPr>
          <w:t>Feist Publications, Inc. v. Rural Tel. Serv. Co., 499 U.S. 340, 347-48 (1991)</w:t>
        </w:r>
      </w:hyperlink>
      <w:r w:rsidRPr="00EE09BC">
        <w:t>.</w:t>
      </w:r>
    </w:p>
  </w:footnote>
  <w:footnote w:id="226">
    <w:p w14:paraId="0BE4C50A" w14:textId="77777777" w:rsidR="00E81370" w:rsidRPr="00016B9E" w:rsidRDefault="00E81370" w:rsidP="001969B8">
      <w:pPr>
        <w:pStyle w:val="FootnoteText"/>
        <w:ind w:firstLine="0"/>
      </w:pPr>
      <w:r w:rsidRPr="00EE09BC">
        <w:rPr>
          <w:vertAlign w:val="superscript"/>
        </w:rPr>
        <w:footnoteRef/>
      </w:r>
      <w:r w:rsidRPr="00EE09BC">
        <w:t xml:space="preserve"> </w:t>
      </w:r>
      <w:hyperlink r:id="rId22" w:history="1">
        <w:r w:rsidRPr="00EE09BC">
          <w:rPr>
            <w:rStyle w:val="Hyperlink3"/>
          </w:rPr>
          <w:t>Bonito Boats, Inc. v. Thunder Craft Boats, Inc., 489 U.S. 141, 161 (1989)</w:t>
        </w:r>
      </w:hyperlink>
      <w:r w:rsidRPr="00EE09BC">
        <w:t xml:space="preserve">; </w:t>
      </w:r>
      <w:hyperlink r:id="rId23" w:history="1">
        <w:r w:rsidRPr="00EE09BC">
          <w:rPr>
            <w:rStyle w:val="Hyperlink3"/>
          </w:rPr>
          <w:t>Kewanee Oil Co. v. Bicron Corp., 416 U.S. 470, 485 (1974)</w:t>
        </w:r>
      </w:hyperlink>
      <w:r w:rsidRPr="00EE09BC">
        <w:t>.</w:t>
      </w:r>
    </w:p>
  </w:footnote>
  <w:footnote w:id="227">
    <w:p w14:paraId="6267CB00" w14:textId="77777777" w:rsidR="00E81370" w:rsidRPr="00016B9E" w:rsidRDefault="00E81370" w:rsidP="001969B8">
      <w:pPr>
        <w:pStyle w:val="FootnoteText"/>
        <w:tabs>
          <w:tab w:val="left" w:pos="3690"/>
        </w:tabs>
        <w:ind w:firstLine="0"/>
      </w:pPr>
      <w:r w:rsidRPr="00016B9E">
        <w:rPr>
          <w:vertAlign w:val="superscript"/>
        </w:rPr>
        <w:footnoteRef/>
      </w:r>
      <w:r>
        <w:t xml:space="preserve"> </w:t>
      </w:r>
      <w:r w:rsidRPr="00016B9E">
        <w:t>Brulotte v. Thys Co., 379 U.S. 29 (1964); Lear Inc. v. Adkins, 395 U.S. 653 (1969)</w:t>
      </w:r>
      <w:r>
        <w:t xml:space="preserve">; </w:t>
      </w:r>
      <w:r w:rsidRPr="00016B9E">
        <w:t xml:space="preserve">Mark A. Lemley, </w:t>
      </w:r>
      <w:r w:rsidRPr="00016B9E">
        <w:rPr>
          <w:i/>
          <w:iCs/>
        </w:rPr>
        <w:t>Beyond Preemption: The Law and Policy of Intellectual Property Licensing</w:t>
      </w:r>
      <w:r w:rsidRPr="00016B9E">
        <w:t xml:space="preserve">, 87 </w:t>
      </w:r>
      <w:r w:rsidRPr="00016B9E">
        <w:rPr>
          <w:smallCaps/>
        </w:rPr>
        <w:t xml:space="preserve">Cal. L. Rev. </w:t>
      </w:r>
      <w:r>
        <w:t>111 (1999)</w:t>
      </w:r>
      <w:r w:rsidRPr="00016B9E">
        <w:t>.</w:t>
      </w:r>
    </w:p>
  </w:footnote>
  <w:footnote w:id="228">
    <w:p w14:paraId="42E3ABF2" w14:textId="77777777" w:rsidR="00E81370" w:rsidRDefault="00E81370" w:rsidP="00BA5127">
      <w:pPr>
        <w:pStyle w:val="FootnoteText"/>
        <w:ind w:firstLine="0"/>
      </w:pPr>
      <w:r>
        <w:rPr>
          <w:rStyle w:val="FootnoteReference"/>
        </w:rPr>
        <w:footnoteRef/>
      </w:r>
      <w:r>
        <w:t xml:space="preserve"> </w:t>
      </w:r>
      <w:r w:rsidRPr="004D7125">
        <w:t xml:space="preserve">William Lynch Schaller, </w:t>
      </w:r>
      <w:r w:rsidRPr="004D7125">
        <w:rPr>
          <w:i/>
          <w:iCs/>
        </w:rPr>
        <w:t xml:space="preserve">Jumping Ship: Legal Issues Relating to Employee Mobility in High Technology Industries, </w:t>
      </w:r>
      <w:r w:rsidRPr="004D7125">
        <w:t xml:space="preserve">17 </w:t>
      </w:r>
      <w:r w:rsidRPr="004D7125">
        <w:rPr>
          <w:smallCaps/>
        </w:rPr>
        <w:t>Lab. Law</w:t>
      </w:r>
      <w:r w:rsidRPr="004D7125">
        <w:t>.</w:t>
      </w:r>
      <w:r>
        <w:t xml:space="preserve"> </w:t>
      </w:r>
      <w:r w:rsidRPr="004D7125">
        <w:t>25, 70 (2001).</w:t>
      </w:r>
    </w:p>
  </w:footnote>
  <w:footnote w:id="229">
    <w:p w14:paraId="334840CD" w14:textId="77777777" w:rsidR="00E81370" w:rsidRPr="00D93887" w:rsidRDefault="00E81370">
      <w:pPr>
        <w:pStyle w:val="FootnoteText"/>
        <w:ind w:firstLine="0"/>
      </w:pPr>
      <w:r w:rsidRPr="004D7125">
        <w:rPr>
          <w:vertAlign w:val="superscript"/>
        </w:rPr>
        <w:footnoteRef/>
      </w:r>
      <w:r w:rsidRPr="004D7125">
        <w:t xml:space="preserve"> Michael </w:t>
      </w:r>
      <w:r w:rsidRPr="00D93887">
        <w:t>Lewis, Flash boys: A Wall Street Revolt 1 (2014).</w:t>
      </w:r>
    </w:p>
  </w:footnote>
  <w:footnote w:id="230">
    <w:p w14:paraId="75EAC2CC" w14:textId="77777777" w:rsidR="00E81370" w:rsidRPr="00BA695D" w:rsidRDefault="00E81370" w:rsidP="00844DD5">
      <w:pPr>
        <w:pStyle w:val="FootnoteText"/>
        <w:ind w:firstLine="0"/>
      </w:pPr>
      <w:r w:rsidRPr="00BA695D">
        <w:rPr>
          <w:vertAlign w:val="superscript"/>
        </w:rPr>
        <w:footnoteRef/>
      </w:r>
      <w:r w:rsidRPr="00BA695D">
        <w:t xml:space="preserve"> Charles Tait Graves &amp; James A. Diboise, </w:t>
      </w:r>
      <w:r w:rsidRPr="00BA695D">
        <w:rPr>
          <w:i/>
          <w:iCs/>
        </w:rPr>
        <w:t>Do Strict Trade Secret and Non-Competition Laws Obstruct Innovation?,</w:t>
      </w:r>
      <w:r w:rsidRPr="00BA695D">
        <w:t xml:space="preserve">1 </w:t>
      </w:r>
      <w:r w:rsidRPr="00BA695D">
        <w:rPr>
          <w:smallCaps/>
        </w:rPr>
        <w:t>Entrepreneurial Bus. L.J</w:t>
      </w:r>
      <w:r w:rsidRPr="00BA695D">
        <w:t>. 323, 339 (2007).</w:t>
      </w:r>
    </w:p>
  </w:footnote>
  <w:footnote w:id="231">
    <w:p w14:paraId="4A401381" w14:textId="77777777" w:rsidR="00E81370" w:rsidRPr="00E76FCE" w:rsidRDefault="00E81370" w:rsidP="00D0770A">
      <w:pPr>
        <w:widowControl/>
        <w:ind w:firstLine="0"/>
        <w:rPr>
          <w:rFonts w:hAnsi="Times New Roman"/>
          <w:sz w:val="20"/>
          <w:szCs w:val="20"/>
        </w:rPr>
      </w:pPr>
      <w:r w:rsidRPr="00E76FCE">
        <w:rPr>
          <w:rFonts w:hAnsi="Times New Roman"/>
          <w:sz w:val="20"/>
          <w:szCs w:val="20"/>
          <w:vertAlign w:val="superscript"/>
        </w:rPr>
        <w:footnoteRef/>
      </w:r>
      <w:r>
        <w:rPr>
          <w:rFonts w:hAnsi="Times New Roman"/>
          <w:sz w:val="20"/>
          <w:szCs w:val="20"/>
        </w:rPr>
        <w:t xml:space="preserve"> </w:t>
      </w:r>
      <w:r w:rsidRPr="00E76FCE">
        <w:rPr>
          <w:rFonts w:hAnsi="Times New Roman"/>
          <w:sz w:val="20"/>
          <w:szCs w:val="20"/>
        </w:rPr>
        <w:t>Rajshree Agarwal, Martin Ganco</w:t>
      </w:r>
      <w:r>
        <w:rPr>
          <w:rFonts w:hAnsi="Times New Roman"/>
          <w:sz w:val="20"/>
          <w:szCs w:val="20"/>
        </w:rPr>
        <w:t xml:space="preserve"> </w:t>
      </w:r>
      <w:r w:rsidRPr="00E76FCE">
        <w:rPr>
          <w:rFonts w:hAnsi="Times New Roman"/>
          <w:sz w:val="20"/>
          <w:szCs w:val="20"/>
        </w:rPr>
        <w:t xml:space="preserve">&amp; Rosemarie Ziedonis, </w:t>
      </w:r>
      <w:r w:rsidRPr="00E76FCE">
        <w:rPr>
          <w:rFonts w:hAnsi="Times New Roman"/>
          <w:i/>
          <w:iCs/>
          <w:sz w:val="20"/>
          <w:szCs w:val="20"/>
        </w:rPr>
        <w:t>Reputations for Toughness in IP Enforcement: Effects on Knowledge Spillovers Through Employee Mobility</w:t>
      </w:r>
      <w:r w:rsidRPr="00E76FCE">
        <w:rPr>
          <w:rFonts w:hAnsi="Times New Roman"/>
          <w:sz w:val="20"/>
          <w:szCs w:val="20"/>
        </w:rPr>
        <w:t xml:space="preserve">, 30(13) </w:t>
      </w:r>
      <w:r w:rsidRPr="00E76FCE">
        <w:rPr>
          <w:rFonts w:hAnsi="Times New Roman"/>
          <w:smallCaps/>
          <w:sz w:val="20"/>
          <w:szCs w:val="20"/>
        </w:rPr>
        <w:t>Strategic Mgmt. J</w:t>
      </w:r>
      <w:r w:rsidRPr="00E76FCE">
        <w:rPr>
          <w:rFonts w:hAnsi="Times New Roman"/>
          <w:sz w:val="20"/>
          <w:szCs w:val="20"/>
        </w:rPr>
        <w:t xml:space="preserve">., 1349-1374 (2009). </w:t>
      </w:r>
      <w:r w:rsidRPr="00E76FCE">
        <w:rPr>
          <w:rFonts w:hAnsi="Times New Roman"/>
          <w:i/>
          <w:iCs/>
          <w:sz w:val="20"/>
          <w:szCs w:val="20"/>
        </w:rPr>
        <w:t>See also</w:t>
      </w:r>
      <w:r w:rsidRPr="00E76FCE">
        <w:rPr>
          <w:rFonts w:hAnsi="Times New Roman"/>
          <w:sz w:val="20"/>
          <w:szCs w:val="20"/>
        </w:rPr>
        <w:t xml:space="preserve">, Larson E., </w:t>
      </w:r>
      <w:r w:rsidRPr="00E76FCE">
        <w:rPr>
          <w:rFonts w:hAnsi="Times New Roman"/>
          <w:i/>
          <w:iCs/>
          <w:sz w:val="20"/>
          <w:szCs w:val="20"/>
        </w:rPr>
        <w:t>Modem Operandi: In High-Tech Industry, New Firms Often Get Fast Trip to Courtroom</w:t>
      </w:r>
      <w:r w:rsidRPr="00E76FCE">
        <w:rPr>
          <w:rFonts w:hAnsi="Times New Roman"/>
          <w:sz w:val="20"/>
          <w:szCs w:val="20"/>
        </w:rPr>
        <w:t xml:space="preserve">, </w:t>
      </w:r>
      <w:r w:rsidRPr="00E76FCE">
        <w:rPr>
          <w:rFonts w:hAnsi="Times New Roman"/>
          <w:smallCaps/>
          <w:sz w:val="20"/>
          <w:szCs w:val="20"/>
        </w:rPr>
        <w:t>Wall St. J.</w:t>
      </w:r>
      <w:r w:rsidRPr="00E76FCE">
        <w:rPr>
          <w:rFonts w:hAnsi="Times New Roman"/>
          <w:sz w:val="20"/>
          <w:szCs w:val="20"/>
        </w:rPr>
        <w:t xml:space="preserve"> (1984) (founders of start-ups are the most costly victims of intellectual property lawsuits).</w:t>
      </w:r>
    </w:p>
  </w:footnote>
  <w:footnote w:id="232">
    <w:p w14:paraId="17391E66" w14:textId="77777777" w:rsidR="00E81370" w:rsidRPr="00BA695D" w:rsidRDefault="00E81370" w:rsidP="00E303D4">
      <w:pPr>
        <w:pStyle w:val="FootnoteText"/>
        <w:ind w:firstLine="0"/>
      </w:pPr>
      <w:r w:rsidRPr="00BA695D">
        <w:rPr>
          <w:rStyle w:val="FootnoteReference"/>
        </w:rPr>
        <w:footnoteRef/>
      </w:r>
      <w:r w:rsidRPr="00BA695D">
        <w:t xml:space="preserve"> </w:t>
      </w:r>
      <w:r w:rsidRPr="00BA695D">
        <w:rPr>
          <w:color w:val="auto"/>
          <w:shd w:val="clear" w:color="auto" w:fill="FFFFFF"/>
        </w:rPr>
        <w:t xml:space="preserve">James Gibson, </w:t>
      </w:r>
      <w:r w:rsidRPr="009342B8">
        <w:rPr>
          <w:rStyle w:val="Hyperlink10"/>
          <w:rFonts w:ascii="Times New Roman" w:hAnsi="Times New Roman" w:cs="Times New Roman"/>
          <w:i/>
          <w:color w:val="auto"/>
          <w:u w:val="none"/>
        </w:rPr>
        <w:t>Risk Aversion and Rights Accretion in Intellectual Property Law</w:t>
      </w:r>
      <w:r w:rsidRPr="00BA695D">
        <w:rPr>
          <w:rStyle w:val="Hyperlink10"/>
          <w:rFonts w:ascii="Times New Roman" w:hAnsi="Times New Roman" w:cs="Times New Roman"/>
          <w:color w:val="auto"/>
          <w:u w:val="none"/>
        </w:rPr>
        <w:t xml:space="preserve">, 116 </w:t>
      </w:r>
      <w:r w:rsidRPr="009342B8">
        <w:rPr>
          <w:rStyle w:val="Hyperlink10"/>
          <w:rFonts w:ascii="Times New Roman" w:hAnsi="Times New Roman" w:cs="Times New Roman"/>
          <w:smallCaps/>
          <w:color w:val="auto"/>
          <w:u w:val="none"/>
        </w:rPr>
        <w:t>Yale L.J.</w:t>
      </w:r>
      <w:r w:rsidRPr="00BA695D">
        <w:rPr>
          <w:rStyle w:val="Hyperlink10"/>
          <w:rFonts w:ascii="Times New Roman" w:hAnsi="Times New Roman" w:cs="Times New Roman"/>
          <w:color w:val="auto"/>
          <w:u w:val="none"/>
        </w:rPr>
        <w:t xml:space="preserve"> 882, 882 (2007)</w:t>
      </w:r>
      <w:r w:rsidRPr="00BA695D">
        <w:rPr>
          <w:color w:val="auto"/>
          <w:shd w:val="clear" w:color="auto" w:fill="FFFFFF"/>
        </w:rPr>
        <w:t> (“</w:t>
      </w:r>
      <w:r w:rsidRPr="00BA695D">
        <w:rPr>
          <w:shd w:val="clear" w:color="auto" w:fill="FFFFFF"/>
        </w:rPr>
        <w:t xml:space="preserve">Intellectual property’s </w:t>
      </w:r>
      <w:r w:rsidRPr="00BA695D">
        <w:rPr>
          <w:color w:val="auto"/>
          <w:shd w:val="clear" w:color="auto" w:fill="FFFFFF"/>
        </w:rPr>
        <w:t>road to hell is paved with good intentions. Because liability is difficult to predict and the consequences of infringement are dire, risk-averse intellectual property users often seek a license when none is needed”).</w:t>
      </w:r>
    </w:p>
  </w:footnote>
  <w:footnote w:id="233">
    <w:p w14:paraId="054FDD11" w14:textId="77777777" w:rsidR="00E81370" w:rsidRPr="00E00B5B" w:rsidRDefault="00E81370" w:rsidP="00E303D4">
      <w:pPr>
        <w:pStyle w:val="FootnoteText"/>
        <w:ind w:firstLine="0"/>
      </w:pPr>
      <w:r w:rsidRPr="00EC5E5B">
        <w:rPr>
          <w:vertAlign w:val="superscript"/>
        </w:rPr>
        <w:footnoteRef/>
      </w:r>
      <w:r w:rsidRPr="00EC5E5B">
        <w:t xml:space="preserve"> Albert Choi &amp; George Triantis, </w:t>
      </w:r>
      <w:r w:rsidRPr="00EC5E5B">
        <w:rPr>
          <w:i/>
          <w:iCs/>
        </w:rPr>
        <w:t>Strategic Vagueness in Contract Design: The Case of Corporate Acquisitions,</w:t>
      </w:r>
      <w:r w:rsidRPr="00EC5E5B">
        <w:t xml:space="preserve"> 119 </w:t>
      </w:r>
      <w:r w:rsidRPr="00EC5E5B">
        <w:rPr>
          <w:smallCaps/>
        </w:rPr>
        <w:t>Yale L.J</w:t>
      </w:r>
      <w:r w:rsidRPr="00EC5E5B">
        <w:t xml:space="preserve">. 848 (2010); Albert Choi &amp; George Triantis, </w:t>
      </w:r>
      <w:r w:rsidRPr="00EC5E5B">
        <w:rPr>
          <w:i/>
          <w:iCs/>
        </w:rPr>
        <w:t>The Effect of Bargaining Power on Contract Design</w:t>
      </w:r>
      <w:r w:rsidRPr="00EC5E5B">
        <w:t xml:space="preserve">, 98 </w:t>
      </w:r>
      <w:r w:rsidRPr="00EC5E5B">
        <w:rPr>
          <w:smallCaps/>
        </w:rPr>
        <w:t>Va. L. Rev</w:t>
      </w:r>
      <w:r w:rsidRPr="00EC5E5B">
        <w:t xml:space="preserve">. 1665 (2012); Albert Choi &amp; George Triantis, </w:t>
      </w:r>
      <w:r w:rsidRPr="00EC5E5B">
        <w:rPr>
          <w:i/>
          <w:iCs/>
        </w:rPr>
        <w:t xml:space="preserve">Market Conditions and Contract Design: Variations in Debt </w:t>
      </w:r>
      <w:r w:rsidRPr="00E00B5B">
        <w:rPr>
          <w:i/>
          <w:iCs/>
        </w:rPr>
        <w:t>Contracting,</w:t>
      </w:r>
      <w:r w:rsidRPr="00E00B5B">
        <w:t xml:space="preserve"> 88 </w:t>
      </w:r>
      <w:r w:rsidRPr="00883A90">
        <w:rPr>
          <w:smallCaps/>
        </w:rPr>
        <w:t>N.Y.U. L. Rev</w:t>
      </w:r>
      <w:r w:rsidRPr="00EE09BC">
        <w:t>. 51 (2013).</w:t>
      </w:r>
    </w:p>
  </w:footnote>
  <w:footnote w:id="234">
    <w:p w14:paraId="63E07684" w14:textId="77777777" w:rsidR="00E81370" w:rsidRDefault="00E81370" w:rsidP="006E67AF">
      <w:pPr>
        <w:pStyle w:val="FootnoteText"/>
        <w:ind w:firstLine="0"/>
      </w:pPr>
      <w:r>
        <w:rPr>
          <w:rStyle w:val="FootnoteReference"/>
        </w:rPr>
        <w:footnoteRef/>
      </w:r>
      <w:r>
        <w:t xml:space="preserve"> </w:t>
      </w:r>
      <w:r w:rsidRPr="00896EB1">
        <w:t xml:space="preserve">Rachel Arnow-Richman, </w:t>
      </w:r>
      <w:r w:rsidRPr="00896EB1">
        <w:rPr>
          <w:i/>
          <w:iCs/>
        </w:rPr>
        <w:t>Cubewrap Contracts and Worker Mobility: The Dilution of Employee Bargaining via Standard Form Noncompetes,</w:t>
      </w:r>
      <w:r>
        <w:rPr>
          <w:i/>
          <w:iCs/>
        </w:rPr>
        <w:t xml:space="preserve"> </w:t>
      </w:r>
      <w:r w:rsidRPr="00B81261">
        <w:rPr>
          <w:smallCaps/>
        </w:rPr>
        <w:t xml:space="preserve">Mich.  St.  L.  Rev.  </w:t>
      </w:r>
      <w:r w:rsidRPr="00B81261">
        <w:t>963 (2006</w:t>
      </w:r>
      <w:r w:rsidRPr="00190975">
        <w:t>).</w:t>
      </w:r>
    </w:p>
  </w:footnote>
  <w:footnote w:id="235">
    <w:p w14:paraId="352F9FA3" w14:textId="77777777" w:rsidR="00E81370" w:rsidRPr="00E76FCE" w:rsidRDefault="00E81370" w:rsidP="005D173C">
      <w:pPr>
        <w:ind w:firstLine="0"/>
        <w:rPr>
          <w:color w:val="auto"/>
          <w:bdr w:val="none" w:sz="0" w:space="0" w:color="auto"/>
        </w:rPr>
      </w:pPr>
      <w:r w:rsidRPr="00E76FCE">
        <w:rPr>
          <w:rStyle w:val="FootnoteReference"/>
          <w:rFonts w:hAnsi="Times New Roman"/>
          <w:sz w:val="20"/>
          <w:szCs w:val="20"/>
        </w:rPr>
        <w:footnoteRef/>
      </w:r>
      <w:r w:rsidRPr="00E76FCE">
        <w:rPr>
          <w:rFonts w:hAnsi="Times New Roman"/>
          <w:sz w:val="20"/>
          <w:szCs w:val="20"/>
        </w:rPr>
        <w:t xml:space="preserve"> </w:t>
      </w:r>
      <w:r w:rsidRPr="00E76FCE">
        <w:rPr>
          <w:rFonts w:eastAsia="Times New Roman" w:hAnsi="Times New Roman" w:cs="Times New Roman"/>
          <w:bCs/>
          <w:color w:val="auto"/>
          <w:sz w:val="20"/>
          <w:szCs w:val="20"/>
          <w:bdr w:val="none" w:sz="0" w:space="0" w:color="auto"/>
          <w:shd w:val="clear" w:color="auto" w:fill="FFFFFF"/>
        </w:rPr>
        <w:t>Newell Rubbermaid</w:t>
      </w:r>
      <w:r w:rsidRPr="00E76FCE">
        <w:rPr>
          <w:rFonts w:eastAsia="Times New Roman" w:hAnsi="Times New Roman" w:cs="Times New Roman"/>
          <w:color w:val="auto"/>
          <w:sz w:val="20"/>
          <w:szCs w:val="20"/>
          <w:bdr w:val="none" w:sz="0" w:space="0" w:color="auto"/>
          <w:shd w:val="clear" w:color="auto" w:fill="FFFFFF"/>
        </w:rPr>
        <w:t> Ind. v. </w:t>
      </w:r>
      <w:r w:rsidRPr="00E76FCE">
        <w:rPr>
          <w:rFonts w:eastAsia="Times New Roman" w:hAnsi="Times New Roman" w:cs="Times New Roman"/>
          <w:bCs/>
          <w:color w:val="auto"/>
          <w:sz w:val="20"/>
          <w:szCs w:val="20"/>
          <w:bdr w:val="none" w:sz="0" w:space="0" w:color="auto"/>
          <w:shd w:val="clear" w:color="auto" w:fill="FFFFFF"/>
        </w:rPr>
        <w:t>Storm</w:t>
      </w:r>
      <w:r w:rsidRPr="00E76FCE">
        <w:rPr>
          <w:rFonts w:eastAsia="Times New Roman" w:hAnsi="Times New Roman" w:cs="Times New Roman"/>
          <w:color w:val="auto"/>
          <w:sz w:val="20"/>
          <w:szCs w:val="20"/>
          <w:bdr w:val="none" w:sz="0" w:space="0" w:color="auto"/>
          <w:shd w:val="clear" w:color="auto" w:fill="FFFFFF"/>
        </w:rPr>
        <w:t>, C.A. </w:t>
      </w:r>
      <w:r w:rsidRPr="00E76FCE">
        <w:rPr>
          <w:rFonts w:eastAsia="Times New Roman" w:hAnsi="Times New Roman" w:cs="Times New Roman"/>
          <w:bCs/>
          <w:color w:val="auto"/>
          <w:sz w:val="20"/>
          <w:szCs w:val="20"/>
          <w:bdr w:val="none" w:sz="0" w:space="0" w:color="auto"/>
          <w:shd w:val="clear" w:color="auto" w:fill="FFFFFF"/>
        </w:rPr>
        <w:t>No</w:t>
      </w:r>
      <w:r w:rsidRPr="00E76FCE">
        <w:rPr>
          <w:rFonts w:eastAsia="Times New Roman" w:hAnsi="Times New Roman" w:cs="Times New Roman"/>
          <w:color w:val="auto"/>
          <w:sz w:val="20"/>
          <w:szCs w:val="20"/>
          <w:bdr w:val="none" w:sz="0" w:space="0" w:color="auto"/>
          <w:shd w:val="clear" w:color="auto" w:fill="FFFFFF"/>
        </w:rPr>
        <w:t>. </w:t>
      </w:r>
      <w:r w:rsidRPr="00E76FCE">
        <w:rPr>
          <w:rFonts w:eastAsia="Times New Roman" w:hAnsi="Times New Roman" w:cs="Times New Roman"/>
          <w:bCs/>
          <w:color w:val="auto"/>
          <w:sz w:val="20"/>
          <w:szCs w:val="20"/>
          <w:bdr w:val="none" w:sz="0" w:space="0" w:color="auto"/>
          <w:shd w:val="clear" w:color="auto" w:fill="FFFFFF"/>
        </w:rPr>
        <w:t>9398</w:t>
      </w:r>
      <w:r w:rsidRPr="00E76FCE">
        <w:rPr>
          <w:rFonts w:eastAsia="Times New Roman" w:hAnsi="Times New Roman" w:cs="Times New Roman"/>
          <w:color w:val="auto"/>
          <w:sz w:val="20"/>
          <w:szCs w:val="20"/>
          <w:bdr w:val="none" w:sz="0" w:space="0" w:color="auto"/>
          <w:shd w:val="clear" w:color="auto" w:fill="FFFFFF"/>
        </w:rPr>
        <w:t>-</w:t>
      </w:r>
      <w:r w:rsidRPr="00E76FCE">
        <w:rPr>
          <w:rFonts w:eastAsia="Times New Roman" w:hAnsi="Times New Roman" w:cs="Times New Roman"/>
          <w:bCs/>
          <w:color w:val="auto"/>
          <w:sz w:val="20"/>
          <w:szCs w:val="20"/>
          <w:bdr w:val="none" w:sz="0" w:space="0" w:color="auto"/>
          <w:shd w:val="clear" w:color="auto" w:fill="FFFFFF"/>
        </w:rPr>
        <w:t>VCN</w:t>
      </w:r>
      <w:r w:rsidRPr="00E76FCE">
        <w:rPr>
          <w:rFonts w:eastAsia="Times New Roman" w:hAnsi="Times New Roman" w:cs="Times New Roman"/>
          <w:color w:val="auto"/>
          <w:sz w:val="20"/>
          <w:szCs w:val="20"/>
          <w:bdr w:val="none" w:sz="0" w:space="0" w:color="auto"/>
          <w:shd w:val="clear" w:color="auto" w:fill="FFFFFF"/>
        </w:rPr>
        <w:t> (</w:t>
      </w:r>
      <w:r w:rsidRPr="00E76FCE">
        <w:rPr>
          <w:rFonts w:eastAsia="Times New Roman" w:hAnsi="Times New Roman" w:cs="Times New Roman"/>
          <w:bCs/>
          <w:color w:val="auto"/>
          <w:sz w:val="20"/>
          <w:szCs w:val="20"/>
          <w:bdr w:val="none" w:sz="0" w:space="0" w:color="auto"/>
          <w:shd w:val="clear" w:color="auto" w:fill="FFFFFF"/>
        </w:rPr>
        <w:t>Del Ch</w:t>
      </w:r>
      <w:r w:rsidRPr="00E76FCE">
        <w:rPr>
          <w:rFonts w:eastAsia="Times New Roman" w:hAnsi="Times New Roman" w:cs="Times New Roman"/>
          <w:color w:val="auto"/>
          <w:sz w:val="20"/>
          <w:szCs w:val="20"/>
          <w:bdr w:val="none" w:sz="0" w:space="0" w:color="auto"/>
          <w:shd w:val="clear" w:color="auto" w:fill="FFFFFF"/>
        </w:rPr>
        <w:t>. </w:t>
      </w:r>
      <w:r w:rsidRPr="00E76FCE">
        <w:rPr>
          <w:rFonts w:eastAsia="Times New Roman" w:hAnsi="Times New Roman" w:cs="Times New Roman"/>
          <w:bCs/>
          <w:color w:val="auto"/>
          <w:sz w:val="20"/>
          <w:szCs w:val="20"/>
          <w:bdr w:val="none" w:sz="0" w:space="0" w:color="auto"/>
          <w:shd w:val="clear" w:color="auto" w:fill="FFFFFF"/>
        </w:rPr>
        <w:t>Mar</w:t>
      </w:r>
      <w:r w:rsidRPr="00E76FCE">
        <w:rPr>
          <w:rFonts w:eastAsia="Times New Roman" w:hAnsi="Times New Roman" w:cs="Times New Roman"/>
          <w:color w:val="auto"/>
          <w:sz w:val="20"/>
          <w:szCs w:val="20"/>
          <w:bdr w:val="none" w:sz="0" w:space="0" w:color="auto"/>
          <w:shd w:val="clear" w:color="auto" w:fill="FFFFFF"/>
        </w:rPr>
        <w:t>. </w:t>
      </w:r>
      <w:r w:rsidRPr="00E76FCE">
        <w:rPr>
          <w:rFonts w:eastAsia="Times New Roman" w:hAnsi="Times New Roman" w:cs="Times New Roman"/>
          <w:bCs/>
          <w:color w:val="auto"/>
          <w:sz w:val="20"/>
          <w:szCs w:val="20"/>
          <w:bdr w:val="none" w:sz="0" w:space="0" w:color="auto"/>
          <w:shd w:val="clear" w:color="auto" w:fill="FFFFFF"/>
        </w:rPr>
        <w:t>27</w:t>
      </w:r>
      <w:r w:rsidRPr="00E76FCE">
        <w:rPr>
          <w:rFonts w:eastAsia="Times New Roman" w:hAnsi="Times New Roman" w:cs="Times New Roman"/>
          <w:color w:val="auto"/>
          <w:sz w:val="20"/>
          <w:szCs w:val="20"/>
          <w:bdr w:val="none" w:sz="0" w:space="0" w:color="auto"/>
          <w:shd w:val="clear" w:color="auto" w:fill="FFFFFF"/>
        </w:rPr>
        <w:t>, </w:t>
      </w:r>
      <w:r w:rsidRPr="00E76FCE">
        <w:rPr>
          <w:rFonts w:eastAsia="Times New Roman" w:hAnsi="Times New Roman" w:cs="Times New Roman"/>
          <w:bCs/>
          <w:color w:val="auto"/>
          <w:sz w:val="20"/>
          <w:szCs w:val="20"/>
          <w:bdr w:val="none" w:sz="0" w:space="0" w:color="auto"/>
          <w:shd w:val="clear" w:color="auto" w:fill="FFFFFF"/>
        </w:rPr>
        <w:t>2014</w:t>
      </w:r>
      <w:r w:rsidRPr="00E76FCE">
        <w:rPr>
          <w:rFonts w:eastAsia="Times New Roman" w:hAnsi="Times New Roman" w:cs="Times New Roman"/>
          <w:color w:val="auto"/>
          <w:sz w:val="20"/>
          <w:szCs w:val="20"/>
          <w:bdr w:val="none" w:sz="0" w:space="0" w:color="auto"/>
          <w:shd w:val="clear" w:color="auto" w:fill="FFFFFF"/>
        </w:rPr>
        <w:t>)</w:t>
      </w:r>
      <w:r>
        <w:rPr>
          <w:rFonts w:eastAsia="Times New Roman" w:hAnsi="Times New Roman" w:cs="Times New Roman"/>
          <w:color w:val="auto"/>
          <w:sz w:val="20"/>
          <w:szCs w:val="20"/>
          <w:bdr w:val="none" w:sz="0" w:space="0" w:color="auto"/>
          <w:shd w:val="clear" w:color="auto" w:fill="FFFFFF"/>
        </w:rPr>
        <w:t>.</w:t>
      </w:r>
    </w:p>
  </w:footnote>
  <w:footnote w:id="236">
    <w:p w14:paraId="7F0C0973" w14:textId="77777777" w:rsidR="00E81370" w:rsidRPr="00EE09BC" w:rsidRDefault="00E81370" w:rsidP="0032035D">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jc w:val="left"/>
        <w:rPr>
          <w:i/>
          <w:iCs/>
          <w:color w:val="auto"/>
          <w:sz w:val="20"/>
          <w:szCs w:val="20"/>
          <w:u w:color="B00E23"/>
        </w:rPr>
      </w:pPr>
      <w:r w:rsidRPr="009722F4">
        <w:rPr>
          <w:rStyle w:val="FootnoteReference"/>
          <w:rFonts w:hAnsi="Times New Roman"/>
          <w:sz w:val="20"/>
          <w:szCs w:val="20"/>
        </w:rPr>
        <w:footnoteRef/>
      </w:r>
      <w:r w:rsidRPr="009722F4">
        <w:rPr>
          <w:rFonts w:hAnsi="Times New Roman"/>
          <w:sz w:val="20"/>
          <w:szCs w:val="20"/>
        </w:rPr>
        <w:t xml:space="preserve"> </w:t>
      </w:r>
      <w:r w:rsidRPr="00165A66">
        <w:rPr>
          <w:rFonts w:hAnsi="Times New Roman"/>
          <w:i/>
          <w:iCs/>
          <w:sz w:val="20"/>
          <w:szCs w:val="20"/>
        </w:rPr>
        <w:t>Id</w:t>
      </w:r>
      <w:r w:rsidRPr="00EE09BC">
        <w:rPr>
          <w:rFonts w:hAnsi="Times New Roman"/>
          <w:sz w:val="20"/>
          <w:szCs w:val="20"/>
        </w:rPr>
        <w:t>.</w:t>
      </w:r>
      <w:r w:rsidRPr="00366730">
        <w:rPr>
          <w:rFonts w:hAnsi="Times New Roman"/>
          <w:sz w:val="20"/>
          <w:szCs w:val="20"/>
        </w:rPr>
        <w:t xml:space="preserve"> </w:t>
      </w:r>
      <w:r w:rsidRPr="009722F4">
        <w:rPr>
          <w:rFonts w:hAnsi="Times New Roman"/>
          <w:color w:val="auto"/>
          <w:sz w:val="20"/>
          <w:szCs w:val="20"/>
          <w:u w:color="444444"/>
        </w:rPr>
        <w:t>In another recent case, an Ohio federal court enforced a non-competition agreement that the employee had never signed.</w:t>
      </w:r>
      <w:r>
        <w:rPr>
          <w:rFonts w:hAnsi="Times New Roman"/>
          <w:color w:val="auto"/>
          <w:sz w:val="20"/>
          <w:szCs w:val="20"/>
          <w:u w:color="444444"/>
        </w:rPr>
        <w:t xml:space="preserve"> </w:t>
      </w:r>
      <w:r w:rsidRPr="007C6162">
        <w:rPr>
          <w:rFonts w:hAnsi="Times New Roman"/>
          <w:i/>
          <w:iCs/>
          <w:color w:val="auto"/>
          <w:sz w:val="20"/>
          <w:szCs w:val="20"/>
          <w:u w:color="444444"/>
        </w:rPr>
        <w:t>See</w:t>
      </w:r>
      <w:r w:rsidRPr="00EE09BC">
        <w:rPr>
          <w:color w:val="auto"/>
          <w:sz w:val="20"/>
          <w:szCs w:val="20"/>
          <w:u w:color="444444"/>
        </w:rPr>
        <w:t xml:space="preserve"> </w:t>
      </w:r>
      <w:hyperlink r:id="rId24" w:history="1">
        <w:r w:rsidRPr="00EE09BC">
          <w:rPr>
            <w:rStyle w:val="Hyperlink11"/>
            <w:rFonts w:eastAsia="Times New Roman" w:hAnsi="Times New Roman" w:cs="Times New Roman"/>
            <w:i w:val="0"/>
            <w:color w:val="auto"/>
            <w:sz w:val="20"/>
            <w:szCs w:val="20"/>
          </w:rPr>
          <w:t>Pharmerica Corp. v. McElyea, 1:14-CV-00774, 2014 WL 1876271 (N.D. Ohio May 9, 2014).</w:t>
        </w:r>
        <w:r w:rsidRPr="00EE09BC" w:rsidDel="0050695F">
          <w:rPr>
            <w:rStyle w:val="Hyperlink11"/>
            <w:rFonts w:hAnsi="Times New Roman"/>
            <w:i w:val="0"/>
            <w:color w:val="auto"/>
            <w:sz w:val="20"/>
            <w:szCs w:val="20"/>
          </w:rPr>
          <w:t xml:space="preserve"> </w:t>
        </w:r>
      </w:hyperlink>
    </w:p>
  </w:footnote>
  <w:footnote w:id="237">
    <w:p w14:paraId="0BD38DCC" w14:textId="77777777" w:rsidR="00E81370" w:rsidRPr="00016B9E" w:rsidRDefault="00E81370" w:rsidP="0032035D">
      <w:pPr>
        <w:ind w:firstLine="0"/>
        <w:rPr>
          <w:sz w:val="20"/>
          <w:szCs w:val="20"/>
        </w:rPr>
      </w:pPr>
      <w:r w:rsidRPr="00883A90">
        <w:rPr>
          <w:rFonts w:hAnsi="Times New Roman" w:cs="Times New Roman"/>
          <w:sz w:val="20"/>
          <w:szCs w:val="20"/>
          <w:vertAlign w:val="superscript"/>
        </w:rPr>
        <w:footnoteRef/>
      </w:r>
      <w:r w:rsidRPr="00883A90">
        <w:rPr>
          <w:rFonts w:hAnsi="Times New Roman" w:cs="Times New Roman"/>
          <w:sz w:val="20"/>
          <w:szCs w:val="20"/>
        </w:rPr>
        <w:t xml:space="preserve"> </w:t>
      </w:r>
      <w:r w:rsidRPr="00EE09BC">
        <w:rPr>
          <w:rFonts w:hAnsi="Times New Roman"/>
          <w:sz w:val="20"/>
          <w:szCs w:val="20"/>
        </w:rPr>
        <w:t xml:space="preserve">Rakshree Agarwal, Martin Ganco &amp; Rosemarie Ziedonis </w:t>
      </w:r>
      <w:r w:rsidRPr="00EE09BC">
        <w:rPr>
          <w:rFonts w:hAnsi="Times New Roman"/>
          <w:i/>
          <w:iCs/>
          <w:sz w:val="20"/>
          <w:szCs w:val="20"/>
        </w:rPr>
        <w:t>Reputations for Toughness in IP Enforcement: Effects on Knowledge Spillovers Through Employee Mobility</w:t>
      </w:r>
      <w:r w:rsidRPr="00EE09BC">
        <w:rPr>
          <w:rFonts w:hAnsi="Times New Roman"/>
          <w:sz w:val="20"/>
          <w:szCs w:val="20"/>
        </w:rPr>
        <w:t xml:space="preserve">, 30(13) </w:t>
      </w:r>
      <w:r w:rsidRPr="00EE09BC">
        <w:rPr>
          <w:rFonts w:hAnsi="Times New Roman"/>
          <w:smallCaps/>
          <w:sz w:val="20"/>
          <w:szCs w:val="20"/>
        </w:rPr>
        <w:t>Strategic Mgmt. J., 1349-1374 (</w:t>
      </w:r>
      <w:r w:rsidRPr="00EE09BC">
        <w:rPr>
          <w:rFonts w:hAnsi="Times New Roman"/>
          <w:sz w:val="20"/>
          <w:szCs w:val="20"/>
        </w:rPr>
        <w:t xml:space="preserve">2009). </w:t>
      </w:r>
    </w:p>
  </w:footnote>
  <w:footnote w:id="238">
    <w:p w14:paraId="4DF378E4" w14:textId="77777777" w:rsidR="00E81370" w:rsidRPr="00016B9E" w:rsidRDefault="00E81370" w:rsidP="0001540A">
      <w:pPr>
        <w:ind w:firstLine="0"/>
        <w:rPr>
          <w:sz w:val="20"/>
          <w:szCs w:val="20"/>
        </w:rPr>
      </w:pPr>
      <w:r w:rsidRPr="00016B9E">
        <w:rPr>
          <w:sz w:val="20"/>
          <w:szCs w:val="20"/>
          <w:vertAlign w:val="superscript"/>
        </w:rPr>
        <w:footnoteRef/>
      </w:r>
      <w:r w:rsidRPr="00016B9E">
        <w:rPr>
          <w:sz w:val="20"/>
          <w:szCs w:val="20"/>
        </w:rPr>
        <w:t xml:space="preserve"> Martin Ganco, Rosemarie Ziedonis</w:t>
      </w:r>
      <w:r>
        <w:rPr>
          <w:sz w:val="20"/>
          <w:szCs w:val="20"/>
        </w:rPr>
        <w:t xml:space="preserve"> </w:t>
      </w:r>
      <w:r w:rsidRPr="00016B9E">
        <w:rPr>
          <w:sz w:val="20"/>
          <w:szCs w:val="20"/>
        </w:rPr>
        <w:t>&amp;</w:t>
      </w:r>
      <w:r>
        <w:rPr>
          <w:sz w:val="20"/>
          <w:szCs w:val="20"/>
        </w:rPr>
        <w:t xml:space="preserve"> </w:t>
      </w:r>
      <w:r w:rsidRPr="00016B9E">
        <w:rPr>
          <w:sz w:val="20"/>
          <w:szCs w:val="20"/>
        </w:rPr>
        <w:t>Rajshree</w:t>
      </w:r>
      <w:r>
        <w:rPr>
          <w:sz w:val="20"/>
          <w:szCs w:val="20"/>
        </w:rPr>
        <w:t xml:space="preserve"> </w:t>
      </w:r>
      <w:r w:rsidRPr="00016B9E">
        <w:rPr>
          <w:sz w:val="20"/>
          <w:szCs w:val="20"/>
        </w:rPr>
        <w:t>Agarwal,</w:t>
      </w:r>
      <w:r w:rsidRPr="00016B9E">
        <w:rPr>
          <w:i/>
          <w:iCs/>
          <w:sz w:val="20"/>
          <w:szCs w:val="20"/>
        </w:rPr>
        <w:t xml:space="preserve"> More Stars Stay, But the Brightest Ones Still Leave: Job Hopping in the Shadow of Patent Enforcement </w:t>
      </w:r>
      <w:r w:rsidRPr="00016B9E">
        <w:rPr>
          <w:sz w:val="20"/>
          <w:szCs w:val="20"/>
        </w:rPr>
        <w:t>(Working Paper September 2013)</w:t>
      </w:r>
      <w:r>
        <w:rPr>
          <w:sz w:val="20"/>
          <w:szCs w:val="20"/>
        </w:rPr>
        <w:t xml:space="preserve">, </w:t>
      </w:r>
      <w:r>
        <w:rPr>
          <w:i/>
          <w:sz w:val="20"/>
          <w:szCs w:val="20"/>
        </w:rPr>
        <w:t>available at</w:t>
      </w:r>
      <w:r w:rsidRPr="00016B9E">
        <w:rPr>
          <w:sz w:val="20"/>
          <w:szCs w:val="20"/>
        </w:rPr>
        <w:t xml:space="preserve"> http://www.rhsmith.umd.edu/faculty/rajshree/testing/research/Ganco%20et%20al%20Job%20Hopping%20Oct%2017%202013.pdf</w:t>
      </w:r>
      <w:r w:rsidRPr="00016B9E">
        <w:rPr>
          <w:color w:val="282828"/>
          <w:sz w:val="20"/>
          <w:szCs w:val="20"/>
          <w:u w:color="282828"/>
        </w:rPr>
        <w:t xml:space="preserve">. </w:t>
      </w:r>
    </w:p>
  </w:footnote>
  <w:footnote w:id="239">
    <w:p w14:paraId="10719BFF" w14:textId="77777777" w:rsidR="00E81370" w:rsidRPr="00016B9E" w:rsidRDefault="00E81370" w:rsidP="0001540A">
      <w:pPr>
        <w:pStyle w:val="FootnoteText"/>
        <w:ind w:firstLine="0"/>
      </w:pPr>
      <w:r w:rsidRPr="00016B9E">
        <w:rPr>
          <w:vertAlign w:val="superscript"/>
        </w:rPr>
        <w:footnoteRef/>
      </w:r>
      <w:r>
        <w:t xml:space="preserve"> </w:t>
      </w:r>
      <w:r w:rsidRPr="00016B9E">
        <w:t>Rajshree Agarwal, Martin Ganco</w:t>
      </w:r>
      <w:r>
        <w:t xml:space="preserve"> </w:t>
      </w:r>
      <w:r w:rsidRPr="00016B9E">
        <w:t xml:space="preserve">&amp; Rosemarie Ziedonis, </w:t>
      </w:r>
      <w:r w:rsidRPr="00016B9E">
        <w:rPr>
          <w:i/>
          <w:iCs/>
        </w:rPr>
        <w:t>Reputations for Toughness in IP Enforcement: Ef</w:t>
      </w:r>
      <w:r>
        <w:rPr>
          <w:i/>
          <w:iCs/>
        </w:rPr>
        <w:t>fects on Knowledge Spillovers T</w:t>
      </w:r>
      <w:r w:rsidRPr="00016B9E">
        <w:rPr>
          <w:i/>
          <w:iCs/>
        </w:rPr>
        <w:t>hrough Employee Mobility</w:t>
      </w:r>
      <w:r w:rsidRPr="00016B9E">
        <w:t xml:space="preserve">, 30(13) </w:t>
      </w:r>
      <w:r w:rsidRPr="00016B9E">
        <w:rPr>
          <w:smallCaps/>
        </w:rPr>
        <w:t>Strategic Mgmt. J</w:t>
      </w:r>
      <w:r>
        <w:t>., 1349-1374 (2009)</w:t>
      </w:r>
      <w:r w:rsidRPr="00016B9E">
        <w:t xml:space="preserve"> at 1368. </w:t>
      </w:r>
    </w:p>
  </w:footnote>
  <w:footnote w:id="240">
    <w:p w14:paraId="717A3EF4" w14:textId="77777777" w:rsidR="00E81370" w:rsidRPr="009722F4" w:rsidRDefault="00E81370" w:rsidP="00844DD5">
      <w:pPr>
        <w:pStyle w:val="FootnoteText"/>
        <w:ind w:firstLine="0"/>
      </w:pPr>
      <w:r w:rsidRPr="009722F4">
        <w:rPr>
          <w:rStyle w:val="FootnoteReference"/>
        </w:rPr>
        <w:footnoteRef/>
      </w:r>
      <w:r w:rsidRPr="00ED551E">
        <w:t xml:space="preserve"> </w:t>
      </w:r>
      <w:r w:rsidRPr="00EE09BC">
        <w:t xml:space="preserve">Steven Klepper &amp; Sally Sleeper, </w:t>
      </w:r>
      <w:r w:rsidRPr="00EE09BC">
        <w:rPr>
          <w:i/>
          <w:iCs/>
        </w:rPr>
        <w:t xml:space="preserve">Entry by Spinoffs, </w:t>
      </w:r>
      <w:r w:rsidRPr="00EE09BC">
        <w:t xml:space="preserve">51 </w:t>
      </w:r>
      <w:r w:rsidRPr="00EE09BC">
        <w:rPr>
          <w:smallCaps/>
        </w:rPr>
        <w:t xml:space="preserve">Mgmt. Sci. </w:t>
      </w:r>
      <w:r w:rsidRPr="00EE09BC">
        <w:t>1291 (2005); Gordon Moore &amp; Kevin David</w:t>
      </w:r>
      <w:r w:rsidRPr="00EE09BC">
        <w:rPr>
          <w:i/>
          <w:iCs/>
        </w:rPr>
        <w:t xml:space="preserve">, Learning the Silicon Valley Way, in </w:t>
      </w:r>
      <w:r w:rsidRPr="00EE09BC">
        <w:rPr>
          <w:smallCaps/>
        </w:rPr>
        <w:t>Bresnahan and Gambardella</w:t>
      </w:r>
      <w:r w:rsidRPr="00EE09BC">
        <w:t xml:space="preserve">, </w:t>
      </w:r>
      <w:r w:rsidRPr="00EE09BC">
        <w:rPr>
          <w:smallCaps/>
        </w:rPr>
        <w:t>Building High-Tech Clusters: Silicon Valley and Beyond</w:t>
      </w:r>
      <w:r w:rsidRPr="00EE09BC">
        <w:t xml:space="preserve"> (Cambridge 2004).</w:t>
      </w:r>
    </w:p>
  </w:footnote>
  <w:footnote w:id="241">
    <w:p w14:paraId="79CE151E" w14:textId="77777777" w:rsidR="00E81370" w:rsidRPr="009722F4" w:rsidRDefault="00E81370" w:rsidP="007241A7">
      <w:pPr>
        <w:pStyle w:val="FootnoteText"/>
        <w:ind w:firstLine="0"/>
      </w:pPr>
      <w:r w:rsidRPr="00EE09BC">
        <w:rPr>
          <w:rStyle w:val="FootnoteReference"/>
        </w:rPr>
        <w:footnoteRef/>
      </w:r>
      <w:r w:rsidRPr="00EE09BC">
        <w:t xml:space="preserve"> Patrick Bolton &amp; David Scharfstein, </w:t>
      </w:r>
      <w:r w:rsidRPr="00EE09BC">
        <w:rPr>
          <w:i/>
          <w:iCs/>
        </w:rPr>
        <w:t>A Theory of Predation Based on Agency Problems in Financial Contracting</w:t>
      </w:r>
      <w:r w:rsidRPr="00EE09BC">
        <w:t xml:space="preserve">, 80 </w:t>
      </w:r>
      <w:r w:rsidRPr="00EE09BC">
        <w:rPr>
          <w:smallCaps/>
        </w:rPr>
        <w:t xml:space="preserve">Am.  Econ.  Rev.  </w:t>
      </w:r>
      <w:r w:rsidRPr="00EE09BC">
        <w:t>93 (1990).</w:t>
      </w:r>
    </w:p>
  </w:footnote>
  <w:footnote w:id="242">
    <w:p w14:paraId="720D111D" w14:textId="77777777" w:rsidR="00E81370" w:rsidRPr="00EC5E5B" w:rsidRDefault="00E81370" w:rsidP="00844DD5">
      <w:pPr>
        <w:pStyle w:val="FootnoteText"/>
        <w:ind w:firstLine="0"/>
      </w:pPr>
      <w:r w:rsidRPr="007657A7">
        <w:rPr>
          <w:vertAlign w:val="superscript"/>
        </w:rPr>
        <w:footnoteRef/>
      </w:r>
      <w:r w:rsidRPr="00876CF1">
        <w:t xml:space="preserve">As such, litigation by companies against their former employees has similar characteristics of trolling in patent and copyright litigation. </w:t>
      </w:r>
      <w:r w:rsidRPr="009D0CBD">
        <w:rPr>
          <w:i/>
          <w:iCs/>
        </w:rPr>
        <w:t>See</w:t>
      </w:r>
      <w:r w:rsidRPr="00DF364A">
        <w:t xml:space="preserve"> Mark A. Lemley &amp; A. Douglas Melamed, </w:t>
      </w:r>
      <w:r w:rsidRPr="00DF364A">
        <w:rPr>
          <w:i/>
          <w:iCs/>
        </w:rPr>
        <w:t>Missing the Forest for the Trolls</w:t>
      </w:r>
      <w:r w:rsidRPr="00A42F9C">
        <w:t xml:space="preserve">, 113 </w:t>
      </w:r>
      <w:r w:rsidRPr="00EC5E5B">
        <w:rPr>
          <w:smallCaps/>
        </w:rPr>
        <w:t>Colum. L. Rev</w:t>
      </w:r>
      <w:r w:rsidRPr="00EC5E5B">
        <w:t xml:space="preserve">. 2117 (2013). </w:t>
      </w:r>
    </w:p>
  </w:footnote>
  <w:footnote w:id="243">
    <w:p w14:paraId="7A56710E" w14:textId="77777777" w:rsidR="00E81370" w:rsidRDefault="00E81370" w:rsidP="00204F91">
      <w:pPr>
        <w:pStyle w:val="FootnoteText"/>
        <w:ind w:firstLine="0"/>
      </w:pPr>
      <w:r w:rsidRPr="00EE09BC">
        <w:rPr>
          <w:rStyle w:val="FootnoteReference"/>
        </w:rPr>
        <w:footnoteRef/>
      </w:r>
      <w:r w:rsidRPr="00EE09BC">
        <w:t xml:space="preserve"> Rajshree Agarwal, Martin Ganco &amp; Rosemarie Ziedonis, </w:t>
      </w:r>
      <w:r w:rsidRPr="00EE09BC">
        <w:rPr>
          <w:i/>
          <w:iCs/>
        </w:rPr>
        <w:t>Reputations for Toughness in IP Enforcement: Effects on Knowledge Spillovers through Employee Mobility</w:t>
      </w:r>
      <w:r w:rsidRPr="00EE09BC">
        <w:t xml:space="preserve">, 30(13) </w:t>
      </w:r>
      <w:r w:rsidRPr="00EE09BC">
        <w:rPr>
          <w:smallCaps/>
        </w:rPr>
        <w:t>Strategic Mgmt. J.,</w:t>
      </w:r>
      <w:r w:rsidRPr="00EE09BC">
        <w:t xml:space="preserve"> 1349-1374 (2009); Jarnal Shamsie, </w:t>
      </w:r>
      <w:r w:rsidRPr="00EE09BC">
        <w:rPr>
          <w:i/>
          <w:iCs/>
        </w:rPr>
        <w:t>The Context of Dominance: An Industry-Driven Framework for Exploiting Reputation</w:t>
      </w:r>
      <w:r w:rsidRPr="00EE09BC">
        <w:t xml:space="preserve">, 24(3) </w:t>
      </w:r>
      <w:r w:rsidRPr="00EE09BC">
        <w:rPr>
          <w:smallCaps/>
        </w:rPr>
        <w:t>Strategic Mgmt. J.</w:t>
      </w:r>
      <w:r w:rsidRPr="00EE09BC">
        <w:t xml:space="preserve"> 199-206  (2003).</w:t>
      </w:r>
    </w:p>
  </w:footnote>
  <w:footnote w:id="244">
    <w:p w14:paraId="613C1919" w14:textId="77777777" w:rsidR="00E81370" w:rsidRDefault="00E81370" w:rsidP="008C0A78">
      <w:pPr>
        <w:pStyle w:val="FootnoteText"/>
        <w:ind w:firstLine="0"/>
      </w:pPr>
      <w:r>
        <w:rPr>
          <w:rStyle w:val="FootnoteReference"/>
        </w:rPr>
        <w:footnoteRef/>
      </w:r>
      <w:r>
        <w:t xml:space="preserve"> </w:t>
      </w:r>
      <w:r w:rsidRPr="00016B9E">
        <w:t xml:space="preserve">Alexander E. Silverman, </w:t>
      </w:r>
      <w:r w:rsidRPr="00016B9E">
        <w:rPr>
          <w:i/>
          <w:iCs/>
        </w:rPr>
        <w:t xml:space="preserve">Symposium Report: Intellectual Property Law and the Venture Capital Process, </w:t>
      </w:r>
      <w:r w:rsidRPr="00016B9E">
        <w:t xml:space="preserve">5 </w:t>
      </w:r>
      <w:r w:rsidRPr="00016B9E">
        <w:rPr>
          <w:smallCaps/>
        </w:rPr>
        <w:t xml:space="preserve">High Tech. L. J. </w:t>
      </w:r>
      <w:r w:rsidRPr="00016B9E">
        <w:t>157 (1990).</w:t>
      </w:r>
    </w:p>
  </w:footnote>
  <w:footnote w:id="245">
    <w:p w14:paraId="599BCD64" w14:textId="77777777" w:rsidR="00E81370" w:rsidRPr="009722F4" w:rsidRDefault="00E81370" w:rsidP="00844DD5">
      <w:pPr>
        <w:pStyle w:val="FootnoteText"/>
        <w:ind w:firstLine="0"/>
      </w:pPr>
      <w:r w:rsidRPr="00EE09BC">
        <w:rPr>
          <w:rStyle w:val="FootnoteReference"/>
        </w:rPr>
        <w:footnoteRef/>
      </w:r>
      <w:r w:rsidRPr="00EE09BC">
        <w:t xml:space="preserve"> Mary S. Koen, </w:t>
      </w:r>
      <w:r w:rsidRPr="00EE09BC">
        <w:rPr>
          <w:i/>
        </w:rPr>
        <w:t>Survey of Small Business Use of Intellectual Property Protection: Report of a Survey Conducted by MO-SCI Corporation for the Small Business Administration.</w:t>
      </w:r>
      <w:r w:rsidRPr="00EE09BC">
        <w:t xml:space="preserve"> (Rolla, Mo.: MO-SCI Corp., 1990).</w:t>
      </w:r>
    </w:p>
  </w:footnote>
  <w:footnote w:id="246">
    <w:p w14:paraId="49235217" w14:textId="77777777" w:rsidR="00E81370" w:rsidRPr="00016B9E" w:rsidRDefault="00E81370">
      <w:pPr>
        <w:pStyle w:val="FootnoteText"/>
        <w:ind w:firstLine="0"/>
      </w:pPr>
      <w:r w:rsidRPr="002E6BD4">
        <w:rPr>
          <w:vertAlign w:val="superscript"/>
        </w:rPr>
        <w:footnoteRef/>
      </w:r>
      <w:r>
        <w:t xml:space="preserve"> </w:t>
      </w:r>
      <w:r w:rsidRPr="000A1DD1">
        <w:t xml:space="preserve">Orly Lobel, </w:t>
      </w:r>
      <w:r w:rsidRPr="004174D9">
        <w:rPr>
          <w:i/>
          <w:iCs/>
        </w:rPr>
        <w:t>Intellectual Property and Restrictive Covenants</w:t>
      </w:r>
      <w:r w:rsidRPr="009323CA">
        <w:t xml:space="preserve">, </w:t>
      </w:r>
      <w:r w:rsidRPr="0034552E">
        <w:rPr>
          <w:i/>
          <w:iCs/>
        </w:rPr>
        <w:t>in</w:t>
      </w:r>
      <w:r w:rsidRPr="00BF71B1">
        <w:rPr>
          <w:i/>
          <w:iCs/>
        </w:rPr>
        <w:t xml:space="preserve"> </w:t>
      </w:r>
      <w:r w:rsidRPr="00BF71B1">
        <w:rPr>
          <w:smallCaps/>
        </w:rPr>
        <w:t>Elgar Encyclopedia of Employ</w:t>
      </w:r>
      <w:r w:rsidRPr="00EE09BC">
        <w:rPr>
          <w:smallCaps/>
        </w:rPr>
        <w:t>’</w:t>
      </w:r>
      <w:r w:rsidRPr="00272339">
        <w:rPr>
          <w:smallCaps/>
        </w:rPr>
        <w:t>t L. and Econ.</w:t>
      </w:r>
      <w:r w:rsidRPr="00A12196">
        <w:rPr>
          <w:smallCaps/>
        </w:rPr>
        <w:t xml:space="preserve"> (</w:t>
      </w:r>
      <w:r w:rsidRPr="002E6BD4">
        <w:t>Kenneth G. Dau</w:t>
      </w:r>
      <w:r w:rsidRPr="000A1DD1">
        <w:t>-Schmidt et al. eds.,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D438" w14:textId="77777777" w:rsidR="00E81370" w:rsidRDefault="00E81370">
    <w:pPr>
      <w:pStyle w:val="Header"/>
      <w:tabs>
        <w:tab w:val="clear" w:pos="4320"/>
        <w:tab w:val="clear" w:pos="8640"/>
        <w:tab w:val="center" w:pos="3672"/>
        <w:tab w:val="right" w:pos="7324"/>
      </w:tabs>
      <w:ind w:firstLine="0"/>
    </w:pPr>
    <w:r>
      <w:fldChar w:fldCharType="begin"/>
    </w:r>
    <w:r>
      <w:instrText xml:space="preserve"> PAGE </w:instrText>
    </w:r>
    <w:r>
      <w:fldChar w:fldCharType="separate"/>
    </w:r>
    <w:r w:rsidR="00300A4A">
      <w:rPr>
        <w:noProof/>
      </w:rPr>
      <w:t>20</w:t>
    </w:r>
    <w:r>
      <w:fldChar w:fldCharType="end"/>
    </w:r>
    <w:r>
      <w:tab/>
    </w:r>
    <w:r>
      <w:rPr>
        <w:i/>
        <w:iCs/>
      </w:rPr>
      <w:t>The New Cognitive Property</w:t>
    </w:r>
    <w:r>
      <w:tab/>
      <w:t>[7-12-14]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75C2" w14:textId="77777777" w:rsidR="00E81370" w:rsidRDefault="00E81370">
    <w:pPr>
      <w:pStyle w:val="Header"/>
      <w:tabs>
        <w:tab w:val="clear" w:pos="4320"/>
        <w:tab w:val="clear" w:pos="8640"/>
        <w:tab w:val="center" w:pos="3672"/>
        <w:tab w:val="right" w:pos="7324"/>
      </w:tabs>
      <w:ind w:firstLine="0"/>
    </w:pPr>
    <w:r>
      <w:t>12-2-14]</w:t>
    </w:r>
    <w:r>
      <w:tab/>
    </w:r>
    <w:r>
      <w:rPr>
        <w:i/>
        <w:iCs/>
      </w:rPr>
      <w:t>The New Cognitive Property</w:t>
    </w:r>
    <w:r>
      <w:tab/>
    </w:r>
    <w:r>
      <w:fldChar w:fldCharType="begin"/>
    </w:r>
    <w:r>
      <w:instrText xml:space="preserve"> PAGE </w:instrText>
    </w:r>
    <w:r>
      <w:fldChar w:fldCharType="separate"/>
    </w:r>
    <w:r w:rsidR="00300A4A">
      <w:rPr>
        <w:noProof/>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4C0"/>
    <w:multiLevelType w:val="multilevel"/>
    <w:tmpl w:val="A04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120B7"/>
    <w:multiLevelType w:val="multilevel"/>
    <w:tmpl w:val="AC269910"/>
    <w:lvl w:ilvl="0">
      <w:start w:val="1"/>
      <w:numFmt w:val="upperRoman"/>
      <w:lvlText w:val="%1."/>
      <w:lvlJc w:val="left"/>
      <w:rPr>
        <w:position w:val="0"/>
        <w:vertAlign w:val="superscript"/>
        <w:rtl w:val="0"/>
      </w:rPr>
    </w:lvl>
    <w:lvl w:ilvl="1">
      <w:start w:val="1"/>
      <w:numFmt w:val="decimal"/>
      <w:lvlText w:val="%1.%2."/>
      <w:lvlJc w:val="left"/>
      <w:rPr>
        <w:position w:val="0"/>
        <w:vertAlign w:val="superscript"/>
        <w:rtl w:val="0"/>
      </w:rPr>
    </w:lvl>
    <w:lvl w:ilvl="2">
      <w:start w:val="1"/>
      <w:numFmt w:val="lowerLetter"/>
      <w:lvlText w:val="(%3)"/>
      <w:lvlJc w:val="left"/>
      <w:rPr>
        <w:position w:val="0"/>
        <w:vertAlign w:val="superscript"/>
        <w:rtl w:val="0"/>
      </w:rPr>
    </w:lvl>
    <w:lvl w:ilvl="3">
      <w:start w:val="1"/>
      <w:numFmt w:val="lowerRoman"/>
      <w:lvlText w:val="(%4)"/>
      <w:lvlJc w:val="left"/>
      <w:rPr>
        <w:position w:val="0"/>
        <w:vertAlign w:val="superscript"/>
        <w:rtl w:val="0"/>
      </w:rPr>
    </w:lvl>
    <w:lvl w:ilvl="4">
      <w:start w:val="1"/>
      <w:numFmt w:val="decimal"/>
      <w:lvlText w:val="%5)"/>
      <w:lvlJc w:val="left"/>
      <w:rPr>
        <w:position w:val="0"/>
        <w:vertAlign w:val="superscript"/>
        <w:rtl w:val="0"/>
      </w:rPr>
    </w:lvl>
    <w:lvl w:ilvl="5">
      <w:start w:val="1"/>
      <w:numFmt w:val="lowerLetter"/>
      <w:lvlText w:val="%6)"/>
      <w:lvlJc w:val="left"/>
      <w:rPr>
        <w:position w:val="0"/>
        <w:vertAlign w:val="superscript"/>
        <w:rtl w:val="0"/>
      </w:rPr>
    </w:lvl>
    <w:lvl w:ilvl="6">
      <w:start w:val="1"/>
      <w:numFmt w:val="lowerRoman"/>
      <w:lvlText w:val="%7)"/>
      <w:lvlJc w:val="left"/>
      <w:rPr>
        <w:position w:val="0"/>
        <w:vertAlign w:val="superscript"/>
        <w:rtl w:val="0"/>
      </w:rPr>
    </w:lvl>
    <w:lvl w:ilvl="7">
      <w:start w:val="1"/>
      <w:numFmt w:val="lowerLetter"/>
      <w:lvlText w:val="%8."/>
      <w:lvlJc w:val="left"/>
      <w:rPr>
        <w:position w:val="0"/>
        <w:vertAlign w:val="superscript"/>
        <w:rtl w:val="0"/>
      </w:rPr>
    </w:lvl>
    <w:lvl w:ilvl="8">
      <w:start w:val="1"/>
      <w:numFmt w:val="lowerRoman"/>
      <w:lvlText w:val="%9."/>
      <w:lvlJc w:val="left"/>
      <w:rPr>
        <w:position w:val="0"/>
        <w:vertAlign w:val="superscript"/>
        <w:rtl w:val="0"/>
      </w:rPr>
    </w:lvl>
  </w:abstractNum>
  <w:abstractNum w:abstractNumId="2" w15:restartNumberingAfterBreak="0">
    <w:nsid w:val="09B636D1"/>
    <w:multiLevelType w:val="multilevel"/>
    <w:tmpl w:val="4F4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A367C"/>
    <w:multiLevelType w:val="hybridMultilevel"/>
    <w:tmpl w:val="9EACB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04E24"/>
    <w:multiLevelType w:val="multilevel"/>
    <w:tmpl w:val="FFECCFCE"/>
    <w:lvl w:ilvl="0">
      <w:numFmt w:val="none"/>
      <w:lvlText w:val=""/>
      <w:lvlJc w:val="left"/>
      <w:pPr>
        <w:tabs>
          <w:tab w:val="num" w:pos="360"/>
        </w:tabs>
      </w:pPr>
    </w:lvl>
    <w:lvl w:ilvl="1">
      <w:start w:val="1"/>
      <w:numFmt w:val="upperLetter"/>
      <w:lvlText w:val="%2."/>
      <w:lvlJc w:val="left"/>
      <w:pPr>
        <w:tabs>
          <w:tab w:val="num" w:pos="2251"/>
        </w:tabs>
        <w:ind w:left="2683" w:hanging="54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2">
      <w:start w:val="1"/>
      <w:numFmt w:val="decimal"/>
      <w:lvlText w:val="%3."/>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3">
      <w:start w:val="1"/>
      <w:numFmt w:val="lowerLetter"/>
      <w:lvlText w:val="%4."/>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4">
      <w:start w:val="1"/>
      <w:numFmt w:val="lowerRoman"/>
      <w:lvlText w:val="%5."/>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5">
      <w:start w:val="1"/>
      <w:numFmt w:val="lowerLetter"/>
      <w:lvlText w:val="(%6)"/>
      <w:lvlJc w:val="left"/>
      <w:pPr>
        <w:tabs>
          <w:tab w:val="num" w:pos="4032"/>
        </w:tabs>
        <w:ind w:left="446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6">
      <w:start w:val="1"/>
      <w:numFmt w:val="lowerRoman"/>
      <w:lvlText w:val="(%7)"/>
      <w:lvlJc w:val="left"/>
      <w:pPr>
        <w:tabs>
          <w:tab w:val="num" w:pos="4752"/>
        </w:tabs>
        <w:ind w:left="518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7">
      <w:start w:val="1"/>
      <w:numFmt w:val="lowerLetter"/>
      <w:lvlText w:val="(%8)"/>
      <w:lvlJc w:val="left"/>
      <w:pPr>
        <w:tabs>
          <w:tab w:val="num" w:pos="5472"/>
        </w:tabs>
        <w:ind w:left="590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8">
      <w:start w:val="1"/>
      <w:numFmt w:val="lowerRoman"/>
      <w:lvlText w:val="(%9)"/>
      <w:lvlJc w:val="left"/>
      <w:pPr>
        <w:tabs>
          <w:tab w:val="num" w:pos="6192"/>
        </w:tabs>
        <w:ind w:left="662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abstractNum>
  <w:abstractNum w:abstractNumId="5" w15:restartNumberingAfterBreak="0">
    <w:nsid w:val="1AFB515F"/>
    <w:multiLevelType w:val="multilevel"/>
    <w:tmpl w:val="99B8D55C"/>
    <w:lvl w:ilvl="0">
      <w:numFmt w:val="none"/>
      <w:lvlText w:val=""/>
      <w:lvlJc w:val="left"/>
      <w:pPr>
        <w:tabs>
          <w:tab w:val="num" w:pos="360"/>
        </w:tabs>
      </w:p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B6C37EA"/>
    <w:multiLevelType w:val="multilevel"/>
    <w:tmpl w:val="88AA52A8"/>
    <w:styleLink w:val="List1"/>
    <w:lvl w:ilvl="0">
      <w:start w:val="1"/>
      <w:numFmt w:val="upperRoman"/>
      <w:lvlText w:val="%1."/>
      <w:lvlJc w:val="left"/>
      <w:rPr>
        <w:position w:val="0"/>
        <w:vertAlign w:val="superscript"/>
        <w:rtl w:val="0"/>
      </w:rPr>
    </w:lvl>
    <w:lvl w:ilvl="1">
      <w:start w:val="1"/>
      <w:numFmt w:val="decimal"/>
      <w:lvlText w:val="%1.%2."/>
      <w:lvlJc w:val="left"/>
      <w:rPr>
        <w:position w:val="0"/>
        <w:vertAlign w:val="superscript"/>
        <w:rtl w:val="0"/>
      </w:rPr>
    </w:lvl>
    <w:lvl w:ilvl="2">
      <w:start w:val="1"/>
      <w:numFmt w:val="lowerLetter"/>
      <w:lvlText w:val="(%3)"/>
      <w:lvlJc w:val="left"/>
      <w:rPr>
        <w:position w:val="0"/>
        <w:vertAlign w:val="superscript"/>
        <w:rtl w:val="0"/>
      </w:rPr>
    </w:lvl>
    <w:lvl w:ilvl="3">
      <w:start w:val="1"/>
      <w:numFmt w:val="lowerRoman"/>
      <w:lvlText w:val="(%4)"/>
      <w:lvlJc w:val="left"/>
      <w:rPr>
        <w:position w:val="0"/>
        <w:vertAlign w:val="superscript"/>
        <w:rtl w:val="0"/>
      </w:rPr>
    </w:lvl>
    <w:lvl w:ilvl="4">
      <w:start w:val="1"/>
      <w:numFmt w:val="decimal"/>
      <w:lvlText w:val="%5)"/>
      <w:lvlJc w:val="left"/>
      <w:rPr>
        <w:position w:val="0"/>
        <w:vertAlign w:val="superscript"/>
        <w:rtl w:val="0"/>
      </w:rPr>
    </w:lvl>
    <w:lvl w:ilvl="5">
      <w:start w:val="1"/>
      <w:numFmt w:val="lowerLetter"/>
      <w:lvlText w:val="%6)"/>
      <w:lvlJc w:val="left"/>
      <w:rPr>
        <w:position w:val="0"/>
        <w:vertAlign w:val="superscript"/>
        <w:rtl w:val="0"/>
      </w:rPr>
    </w:lvl>
    <w:lvl w:ilvl="6">
      <w:start w:val="1"/>
      <w:numFmt w:val="lowerRoman"/>
      <w:lvlText w:val="%7)"/>
      <w:lvlJc w:val="left"/>
      <w:rPr>
        <w:position w:val="0"/>
        <w:vertAlign w:val="superscript"/>
        <w:rtl w:val="0"/>
      </w:rPr>
    </w:lvl>
    <w:lvl w:ilvl="7">
      <w:start w:val="1"/>
      <w:numFmt w:val="lowerLetter"/>
      <w:lvlText w:val="%8."/>
      <w:lvlJc w:val="left"/>
      <w:rPr>
        <w:position w:val="0"/>
        <w:vertAlign w:val="superscript"/>
        <w:rtl w:val="0"/>
      </w:rPr>
    </w:lvl>
    <w:lvl w:ilvl="8">
      <w:start w:val="1"/>
      <w:numFmt w:val="lowerRoman"/>
      <w:lvlText w:val="%9."/>
      <w:lvlJc w:val="left"/>
      <w:rPr>
        <w:position w:val="0"/>
        <w:vertAlign w:val="superscript"/>
        <w:rtl w:val="0"/>
      </w:rPr>
    </w:lvl>
  </w:abstractNum>
  <w:abstractNum w:abstractNumId="7" w15:restartNumberingAfterBreak="0">
    <w:nsid w:val="1F98531B"/>
    <w:multiLevelType w:val="multilevel"/>
    <w:tmpl w:val="FDE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C2AD8"/>
    <w:multiLevelType w:val="multilevel"/>
    <w:tmpl w:val="8F5680D8"/>
    <w:lvl w:ilvl="0">
      <w:numFmt w:val="none"/>
      <w:lvlText w:val=""/>
      <w:lvlJc w:val="left"/>
      <w:pPr>
        <w:tabs>
          <w:tab w:val="num" w:pos="360"/>
        </w:tabs>
      </w:pPr>
    </w:lvl>
    <w:lvl w:ilvl="1">
      <w:start w:val="1"/>
      <w:numFmt w:val="upperLetter"/>
      <w:lvlText w:val="%2."/>
      <w:lvlJc w:val="left"/>
      <w:rPr>
        <w:i/>
        <w:iCs/>
        <w:position w:val="0"/>
        <w:rtl w:val="0"/>
        <w:lang w:val="en-US"/>
      </w:rPr>
    </w:lvl>
    <w:lvl w:ilvl="2">
      <w:start w:val="1"/>
      <w:numFmt w:val="decimal"/>
      <w:lvlText w:val="%3."/>
      <w:lvlJc w:val="left"/>
      <w:rPr>
        <w:i/>
        <w:iCs/>
        <w:position w:val="0"/>
        <w:rtl w:val="0"/>
        <w:lang w:val="en-US"/>
      </w:rPr>
    </w:lvl>
    <w:lvl w:ilvl="3">
      <w:start w:val="1"/>
      <w:numFmt w:val="lowerLetter"/>
      <w:lvlText w:val="%4."/>
      <w:lvlJc w:val="left"/>
      <w:rPr>
        <w:i/>
        <w:iCs/>
        <w:position w:val="0"/>
        <w:rtl w:val="0"/>
        <w:lang w:val="en-US"/>
      </w:rPr>
    </w:lvl>
    <w:lvl w:ilvl="4">
      <w:start w:val="1"/>
      <w:numFmt w:val="lowerRoman"/>
      <w:lvlText w:val="%5."/>
      <w:lvlJc w:val="left"/>
      <w:rPr>
        <w:i/>
        <w:iCs/>
        <w:position w:val="0"/>
        <w:rtl w:val="0"/>
        <w:lang w:val="en-US"/>
      </w:rPr>
    </w:lvl>
    <w:lvl w:ilvl="5">
      <w:start w:val="1"/>
      <w:numFmt w:val="lowerLetter"/>
      <w:lvlText w:val="(%6)"/>
      <w:lvlJc w:val="left"/>
      <w:rPr>
        <w:i/>
        <w:iCs/>
        <w:position w:val="0"/>
        <w:rtl w:val="0"/>
        <w:lang w:val="en-US"/>
      </w:rPr>
    </w:lvl>
    <w:lvl w:ilvl="6">
      <w:start w:val="1"/>
      <w:numFmt w:val="lowerRoman"/>
      <w:lvlText w:val="(%7)"/>
      <w:lvlJc w:val="left"/>
      <w:rPr>
        <w:i/>
        <w:iCs/>
        <w:position w:val="0"/>
        <w:rtl w:val="0"/>
        <w:lang w:val="en-US"/>
      </w:rPr>
    </w:lvl>
    <w:lvl w:ilvl="7">
      <w:start w:val="1"/>
      <w:numFmt w:val="lowerLetter"/>
      <w:lvlText w:val="(%8)"/>
      <w:lvlJc w:val="left"/>
      <w:rPr>
        <w:i/>
        <w:iCs/>
        <w:position w:val="0"/>
        <w:rtl w:val="0"/>
        <w:lang w:val="en-US"/>
      </w:rPr>
    </w:lvl>
    <w:lvl w:ilvl="8">
      <w:start w:val="1"/>
      <w:numFmt w:val="lowerRoman"/>
      <w:lvlText w:val="(%9)"/>
      <w:lvlJc w:val="left"/>
      <w:rPr>
        <w:i/>
        <w:iCs/>
        <w:position w:val="0"/>
        <w:rtl w:val="0"/>
        <w:lang w:val="en-US"/>
      </w:rPr>
    </w:lvl>
  </w:abstractNum>
  <w:abstractNum w:abstractNumId="9" w15:restartNumberingAfterBreak="0">
    <w:nsid w:val="23A4721E"/>
    <w:multiLevelType w:val="multilevel"/>
    <w:tmpl w:val="6A8E6074"/>
    <w:lvl w:ilvl="0">
      <w:numFmt w:val="none"/>
      <w:lvlText w:val=""/>
      <w:lvlJc w:val="left"/>
      <w:pPr>
        <w:tabs>
          <w:tab w:val="num" w:pos="360"/>
        </w:tabs>
      </w:pPr>
    </w:lvl>
    <w:lvl w:ilvl="1">
      <w:start w:val="1"/>
      <w:numFmt w:val="upperLetter"/>
      <w:lvlText w:val="%2."/>
      <w:lvlJc w:val="left"/>
      <w:pPr>
        <w:tabs>
          <w:tab w:val="num" w:pos="2934"/>
        </w:tabs>
        <w:ind w:left="336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4">
      <w:start w:val="1"/>
      <w:numFmt w:val="lowerRoman"/>
      <w:lvlText w:val="%5."/>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4464"/>
        </w:tabs>
        <w:ind w:left="489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5184"/>
        </w:tabs>
        <w:ind w:left="561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4"/>
        </w:tabs>
        <w:ind w:left="633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4"/>
        </w:tabs>
        <w:ind w:left="705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abstractNum>
  <w:abstractNum w:abstractNumId="10" w15:restartNumberingAfterBreak="0">
    <w:nsid w:val="28D23D23"/>
    <w:multiLevelType w:val="multilevel"/>
    <w:tmpl w:val="BBDECC98"/>
    <w:lvl w:ilvl="0">
      <w:numFmt w:val="none"/>
      <w:lvlText w:val=""/>
      <w:lvlJc w:val="left"/>
      <w:pPr>
        <w:tabs>
          <w:tab w:val="num" w:pos="360"/>
        </w:tabs>
      </w:pPr>
    </w:lvl>
    <w:lvl w:ilvl="1">
      <w:start w:val="1"/>
      <w:numFmt w:val="upperLetter"/>
      <w:lvlText w:val="%2."/>
      <w:lvlJc w:val="left"/>
      <w:pPr>
        <w:tabs>
          <w:tab w:val="num" w:pos="2251"/>
        </w:tabs>
        <w:ind w:left="2683" w:hanging="54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2">
      <w:start w:val="1"/>
      <w:numFmt w:val="decimal"/>
      <w:lvlText w:val="%3."/>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3">
      <w:start w:val="1"/>
      <w:numFmt w:val="lowerLetter"/>
      <w:lvlText w:val="%4."/>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4">
      <w:start w:val="1"/>
      <w:numFmt w:val="lowerRoman"/>
      <w:lvlText w:val="%5."/>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5">
      <w:start w:val="1"/>
      <w:numFmt w:val="lowerLetter"/>
      <w:lvlText w:val="(%6)"/>
      <w:lvlJc w:val="left"/>
      <w:pPr>
        <w:tabs>
          <w:tab w:val="num" w:pos="4032"/>
        </w:tabs>
        <w:ind w:left="446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6">
      <w:start w:val="1"/>
      <w:numFmt w:val="lowerRoman"/>
      <w:lvlText w:val="(%7)"/>
      <w:lvlJc w:val="left"/>
      <w:pPr>
        <w:tabs>
          <w:tab w:val="num" w:pos="4752"/>
        </w:tabs>
        <w:ind w:left="518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7">
      <w:start w:val="1"/>
      <w:numFmt w:val="lowerLetter"/>
      <w:lvlText w:val="(%8)"/>
      <w:lvlJc w:val="left"/>
      <w:pPr>
        <w:tabs>
          <w:tab w:val="num" w:pos="5472"/>
        </w:tabs>
        <w:ind w:left="590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8">
      <w:start w:val="1"/>
      <w:numFmt w:val="lowerRoman"/>
      <w:lvlText w:val="(%9)"/>
      <w:lvlJc w:val="left"/>
      <w:pPr>
        <w:tabs>
          <w:tab w:val="num" w:pos="6192"/>
        </w:tabs>
        <w:ind w:left="662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abstractNum>
  <w:abstractNum w:abstractNumId="11" w15:restartNumberingAfterBreak="0">
    <w:nsid w:val="2A7A40AB"/>
    <w:multiLevelType w:val="multilevel"/>
    <w:tmpl w:val="56C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03144"/>
    <w:multiLevelType w:val="multilevel"/>
    <w:tmpl w:val="99B8D55C"/>
    <w:lvl w:ilvl="0">
      <w:numFmt w:val="none"/>
      <w:lvlText w:val=""/>
      <w:lvlJc w:val="left"/>
      <w:pPr>
        <w:tabs>
          <w:tab w:val="num" w:pos="360"/>
        </w:tabs>
      </w:p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2ED73BB6"/>
    <w:multiLevelType w:val="hybridMultilevel"/>
    <w:tmpl w:val="91EED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22FF5"/>
    <w:multiLevelType w:val="multilevel"/>
    <w:tmpl w:val="2D2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13348"/>
    <w:multiLevelType w:val="hybridMultilevel"/>
    <w:tmpl w:val="2782F6D6"/>
    <w:lvl w:ilvl="0" w:tplc="69B0F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51179D"/>
    <w:multiLevelType w:val="multilevel"/>
    <w:tmpl w:val="0DA4C122"/>
    <w:styleLink w:val="List0"/>
    <w:lvl w:ilvl="0">
      <w:numFmt w:val="none"/>
      <w:lvlText w:val=""/>
      <w:lvlJc w:val="left"/>
      <w:pPr>
        <w:tabs>
          <w:tab w:val="num" w:pos="360"/>
        </w:tabs>
      </w:pPr>
    </w:lvl>
    <w:lvl w:ilvl="1">
      <w:start w:val="1"/>
      <w:numFmt w:val="upperLetter"/>
      <w:lvlText w:val="%2."/>
      <w:lvlJc w:val="left"/>
      <w:rPr>
        <w:i/>
        <w:iCs/>
        <w:position w:val="0"/>
        <w:rtl w:val="0"/>
      </w:rPr>
    </w:lvl>
    <w:lvl w:ilvl="2">
      <w:start w:val="1"/>
      <w:numFmt w:val="decimal"/>
      <w:lvlText w:val="%3."/>
      <w:lvlJc w:val="left"/>
      <w:rPr>
        <w:i/>
        <w:iCs/>
        <w:position w:val="0"/>
        <w:rtl w:val="0"/>
      </w:rPr>
    </w:lvl>
    <w:lvl w:ilvl="3">
      <w:start w:val="1"/>
      <w:numFmt w:val="lowerLetter"/>
      <w:lvlText w:val="%4."/>
      <w:lvlJc w:val="left"/>
      <w:rPr>
        <w:i/>
        <w:iCs/>
        <w:position w:val="0"/>
        <w:rtl w:val="0"/>
      </w:rPr>
    </w:lvl>
    <w:lvl w:ilvl="4">
      <w:start w:val="1"/>
      <w:numFmt w:val="lowerRoman"/>
      <w:lvlText w:val="%5."/>
      <w:lvlJc w:val="left"/>
      <w:rPr>
        <w:i/>
        <w:iCs/>
        <w:position w:val="0"/>
        <w:rtl w:val="0"/>
      </w:rPr>
    </w:lvl>
    <w:lvl w:ilvl="5">
      <w:start w:val="1"/>
      <w:numFmt w:val="lowerLetter"/>
      <w:lvlText w:val="(%6)"/>
      <w:lvlJc w:val="left"/>
      <w:rPr>
        <w:i/>
        <w:iCs/>
        <w:position w:val="0"/>
        <w:rtl w:val="0"/>
      </w:rPr>
    </w:lvl>
    <w:lvl w:ilvl="6">
      <w:start w:val="1"/>
      <w:numFmt w:val="lowerRoman"/>
      <w:lvlText w:val="(%7)"/>
      <w:lvlJc w:val="left"/>
      <w:rPr>
        <w:i/>
        <w:iCs/>
        <w:position w:val="0"/>
        <w:rtl w:val="0"/>
      </w:rPr>
    </w:lvl>
    <w:lvl w:ilvl="7">
      <w:start w:val="1"/>
      <w:numFmt w:val="lowerLetter"/>
      <w:lvlText w:val="(%8)"/>
      <w:lvlJc w:val="left"/>
      <w:rPr>
        <w:i/>
        <w:iCs/>
        <w:position w:val="0"/>
        <w:rtl w:val="0"/>
      </w:rPr>
    </w:lvl>
    <w:lvl w:ilvl="8">
      <w:start w:val="1"/>
      <w:numFmt w:val="lowerRoman"/>
      <w:lvlText w:val="(%9)"/>
      <w:lvlJc w:val="left"/>
      <w:rPr>
        <w:i/>
        <w:iCs/>
        <w:position w:val="0"/>
        <w:rtl w:val="0"/>
      </w:rPr>
    </w:lvl>
  </w:abstractNum>
  <w:abstractNum w:abstractNumId="17" w15:restartNumberingAfterBreak="0">
    <w:nsid w:val="48AB13CF"/>
    <w:multiLevelType w:val="multilevel"/>
    <w:tmpl w:val="8654E80E"/>
    <w:styleLink w:val="ImportedStyle1"/>
    <w:lvl w:ilvl="0">
      <w:numFmt w:val="none"/>
      <w:lvlText w:val=""/>
      <w:lvlJc w:val="left"/>
      <w:pPr>
        <w:tabs>
          <w:tab w:val="num" w:pos="360"/>
        </w:tabs>
      </w:p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4F3857CD"/>
    <w:multiLevelType w:val="multilevel"/>
    <w:tmpl w:val="22E8A8F2"/>
    <w:lvl w:ilvl="0">
      <w:numFmt w:val="none"/>
      <w:lvlText w:val=""/>
      <w:lvlJc w:val="left"/>
      <w:pPr>
        <w:tabs>
          <w:tab w:val="num" w:pos="360"/>
        </w:tabs>
      </w:pPr>
    </w:lvl>
    <w:lvl w:ilvl="1">
      <w:start w:val="1"/>
      <w:numFmt w:val="upperLetter"/>
      <w:lvlText w:val="%2."/>
      <w:lvlJc w:val="left"/>
      <w:pPr>
        <w:tabs>
          <w:tab w:val="num" w:pos="2502"/>
        </w:tabs>
        <w:ind w:left="293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2">
      <w:start w:val="1"/>
      <w:numFmt w:val="decimal"/>
      <w:lvlText w:val="%3."/>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3">
      <w:start w:val="1"/>
      <w:numFmt w:val="lowerLetter"/>
      <w:lvlText w:val="%4."/>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4">
      <w:start w:val="1"/>
      <w:numFmt w:val="lowerRoman"/>
      <w:lvlText w:val="%5."/>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5">
      <w:start w:val="1"/>
      <w:numFmt w:val="lowerLetter"/>
      <w:lvlText w:val="(%6)"/>
      <w:lvlJc w:val="left"/>
      <w:pPr>
        <w:tabs>
          <w:tab w:val="num" w:pos="4032"/>
        </w:tabs>
        <w:ind w:left="446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6">
      <w:start w:val="1"/>
      <w:numFmt w:val="lowerRoman"/>
      <w:lvlText w:val="(%7)"/>
      <w:lvlJc w:val="left"/>
      <w:pPr>
        <w:tabs>
          <w:tab w:val="num" w:pos="4752"/>
        </w:tabs>
        <w:ind w:left="518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7">
      <w:start w:val="1"/>
      <w:numFmt w:val="lowerLetter"/>
      <w:lvlText w:val="(%8)"/>
      <w:lvlJc w:val="left"/>
      <w:pPr>
        <w:tabs>
          <w:tab w:val="num" w:pos="5472"/>
        </w:tabs>
        <w:ind w:left="590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8">
      <w:start w:val="1"/>
      <w:numFmt w:val="lowerRoman"/>
      <w:lvlText w:val="(%9)"/>
      <w:lvlJc w:val="left"/>
      <w:pPr>
        <w:tabs>
          <w:tab w:val="num" w:pos="6192"/>
        </w:tabs>
        <w:ind w:left="662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abstractNum>
  <w:abstractNum w:abstractNumId="19" w15:restartNumberingAfterBreak="0">
    <w:nsid w:val="4F6A6413"/>
    <w:multiLevelType w:val="multilevel"/>
    <w:tmpl w:val="F118D880"/>
    <w:lvl w:ilvl="0">
      <w:start w:val="1"/>
      <w:numFmt w:val="upperRoman"/>
      <w:lvlText w:val="%1."/>
      <w:lvlJc w:val="left"/>
      <w:rPr>
        <w:position w:val="0"/>
      </w:rPr>
    </w:lvl>
    <w:lvl w:ilvl="1">
      <w:start w:val="1"/>
      <w:numFmt w:val="decimal"/>
      <w:lvlText w:val="%1.%2."/>
      <w:lvlJc w:val="left"/>
      <w:rPr>
        <w:position w:val="0"/>
      </w:rPr>
    </w:lvl>
    <w:lvl w:ilvl="2">
      <w:start w:val="1"/>
      <w:numFmt w:val="lowerLetter"/>
      <w:lvlText w:val="(%3)"/>
      <w:lvlJc w:val="left"/>
      <w:rPr>
        <w:position w:val="0"/>
      </w:rPr>
    </w:lvl>
    <w:lvl w:ilvl="3">
      <w:start w:val="1"/>
      <w:numFmt w:val="lowerRoman"/>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587C5419"/>
    <w:multiLevelType w:val="multilevel"/>
    <w:tmpl w:val="F5E4EE88"/>
    <w:lvl w:ilvl="0">
      <w:numFmt w:val="none"/>
      <w:lvlText w:val=""/>
      <w:lvlJc w:val="left"/>
      <w:pPr>
        <w:tabs>
          <w:tab w:val="num" w:pos="360"/>
        </w:tabs>
      </w:pPr>
    </w:lvl>
    <w:lvl w:ilvl="1">
      <w:start w:val="1"/>
      <w:numFmt w:val="upperLetter"/>
      <w:lvlText w:val="%2."/>
      <w:lvlJc w:val="left"/>
      <w:pPr>
        <w:tabs>
          <w:tab w:val="num" w:pos="2934"/>
        </w:tabs>
        <w:ind w:left="336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4">
      <w:start w:val="1"/>
      <w:numFmt w:val="lowerRoman"/>
      <w:lvlText w:val="%5."/>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4464"/>
        </w:tabs>
        <w:ind w:left="489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5184"/>
        </w:tabs>
        <w:ind w:left="561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4"/>
        </w:tabs>
        <w:ind w:left="633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4"/>
        </w:tabs>
        <w:ind w:left="705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abstractNum>
  <w:abstractNum w:abstractNumId="21" w15:restartNumberingAfterBreak="0">
    <w:nsid w:val="60387EA4"/>
    <w:multiLevelType w:val="multilevel"/>
    <w:tmpl w:val="99B8D55C"/>
    <w:lvl w:ilvl="0">
      <w:numFmt w:val="none"/>
      <w:lvlText w:val=""/>
      <w:lvlJc w:val="left"/>
      <w:pPr>
        <w:tabs>
          <w:tab w:val="num" w:pos="360"/>
        </w:tabs>
      </w:p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6CE5528F"/>
    <w:multiLevelType w:val="multilevel"/>
    <w:tmpl w:val="62D864B6"/>
    <w:lvl w:ilvl="0">
      <w:numFmt w:val="none"/>
      <w:lvlText w:val=""/>
      <w:lvlJc w:val="left"/>
      <w:pPr>
        <w:tabs>
          <w:tab w:val="num" w:pos="360"/>
        </w:tabs>
      </w:pPr>
    </w:lvl>
    <w:lvl w:ilvl="1">
      <w:start w:val="1"/>
      <w:numFmt w:val="upperLetter"/>
      <w:lvlText w:val="%2."/>
      <w:lvlJc w:val="left"/>
      <w:pPr>
        <w:tabs>
          <w:tab w:val="num" w:pos="2251"/>
        </w:tabs>
        <w:ind w:left="2683" w:hanging="54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2">
      <w:start w:val="1"/>
      <w:numFmt w:val="decimal"/>
      <w:lvlText w:val="%3."/>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3">
      <w:start w:val="1"/>
      <w:numFmt w:val="lowerLetter"/>
      <w:lvlText w:val="%4."/>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4">
      <w:start w:val="1"/>
      <w:numFmt w:val="lowerRoman"/>
      <w:lvlText w:val="%5."/>
      <w:lvlJc w:val="left"/>
      <w:pPr>
        <w:tabs>
          <w:tab w:val="num" w:pos="792"/>
        </w:tabs>
        <w:ind w:left="1224"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5">
      <w:start w:val="1"/>
      <w:numFmt w:val="lowerLetter"/>
      <w:lvlText w:val="(%6)"/>
      <w:lvlJc w:val="left"/>
      <w:pPr>
        <w:tabs>
          <w:tab w:val="num" w:pos="4032"/>
        </w:tabs>
        <w:ind w:left="446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6">
      <w:start w:val="1"/>
      <w:numFmt w:val="lowerRoman"/>
      <w:lvlText w:val="(%7)"/>
      <w:lvlJc w:val="left"/>
      <w:pPr>
        <w:tabs>
          <w:tab w:val="num" w:pos="4752"/>
        </w:tabs>
        <w:ind w:left="518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7">
      <w:start w:val="1"/>
      <w:numFmt w:val="lowerLetter"/>
      <w:lvlText w:val="(%8)"/>
      <w:lvlJc w:val="left"/>
      <w:pPr>
        <w:tabs>
          <w:tab w:val="num" w:pos="5472"/>
        </w:tabs>
        <w:ind w:left="590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lvl w:ilvl="8">
      <w:start w:val="1"/>
      <w:numFmt w:val="lowerRoman"/>
      <w:lvlText w:val="(%9)"/>
      <w:lvlJc w:val="left"/>
      <w:pPr>
        <w:tabs>
          <w:tab w:val="num" w:pos="6192"/>
        </w:tabs>
        <w:ind w:left="6624"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rPr>
    </w:lvl>
  </w:abstractNum>
  <w:abstractNum w:abstractNumId="23" w15:restartNumberingAfterBreak="0">
    <w:nsid w:val="72462DD3"/>
    <w:multiLevelType w:val="hybridMultilevel"/>
    <w:tmpl w:val="B4F00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24357"/>
    <w:multiLevelType w:val="multilevel"/>
    <w:tmpl w:val="FE1E55BC"/>
    <w:lvl w:ilvl="0">
      <w:numFmt w:val="none"/>
      <w:lvlText w:val=""/>
      <w:lvlJc w:val="left"/>
      <w:pPr>
        <w:tabs>
          <w:tab w:val="num" w:pos="360"/>
        </w:tabs>
      </w:pPr>
    </w:lvl>
    <w:lvl w:ilvl="1">
      <w:start w:val="1"/>
      <w:numFmt w:val="upperLetter"/>
      <w:lvlText w:val="%2."/>
      <w:lvlJc w:val="left"/>
      <w:pPr>
        <w:tabs>
          <w:tab w:val="num" w:pos="2934"/>
        </w:tabs>
        <w:ind w:left="336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4">
      <w:start w:val="1"/>
      <w:numFmt w:val="lowerRoman"/>
      <w:lvlText w:val="%5."/>
      <w:lvlJc w:val="left"/>
      <w:pPr>
        <w:tabs>
          <w:tab w:val="num" w:pos="1224"/>
        </w:tabs>
        <w:ind w:left="1656" w:hanging="79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4464"/>
        </w:tabs>
        <w:ind w:left="489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5184"/>
        </w:tabs>
        <w:ind w:left="561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4"/>
        </w:tabs>
        <w:ind w:left="633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4"/>
        </w:tabs>
        <w:ind w:left="7056" w:hanging="43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rPr>
    </w:lvl>
  </w:abstractNum>
  <w:abstractNum w:abstractNumId="25" w15:restartNumberingAfterBreak="0">
    <w:nsid w:val="7A804A48"/>
    <w:multiLevelType w:val="multilevel"/>
    <w:tmpl w:val="7AF47140"/>
    <w:lvl w:ilvl="0">
      <w:numFmt w:val="none"/>
      <w:lvlText w:val=""/>
      <w:lvlJc w:val="left"/>
      <w:pPr>
        <w:tabs>
          <w:tab w:val="num" w:pos="360"/>
        </w:tabs>
      </w:p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0"/>
  </w:num>
  <w:num w:numId="2">
    <w:abstractNumId w:val="18"/>
  </w:num>
  <w:num w:numId="3">
    <w:abstractNumId w:val="4"/>
  </w:num>
  <w:num w:numId="4">
    <w:abstractNumId w:val="24"/>
  </w:num>
  <w:num w:numId="5">
    <w:abstractNumId w:val="9"/>
  </w:num>
  <w:num w:numId="6">
    <w:abstractNumId w:val="20"/>
  </w:num>
  <w:num w:numId="7">
    <w:abstractNumId w:val="22"/>
  </w:num>
  <w:num w:numId="8">
    <w:abstractNumId w:val="8"/>
  </w:num>
  <w:num w:numId="9">
    <w:abstractNumId w:val="12"/>
  </w:num>
  <w:num w:numId="10">
    <w:abstractNumId w:val="25"/>
  </w:num>
  <w:num w:numId="11">
    <w:abstractNumId w:val="1"/>
  </w:num>
  <w:num w:numId="12">
    <w:abstractNumId w:val="19"/>
  </w:num>
  <w:num w:numId="13">
    <w:abstractNumId w:val="6"/>
  </w:num>
  <w:num w:numId="14">
    <w:abstractNumId w:val="17"/>
  </w:num>
  <w:num w:numId="15">
    <w:abstractNumId w:val="16"/>
    <w:lvlOverride w:ilvl="0">
      <w:lvl w:ilvl="0">
        <w:numFmt w:val="decimal"/>
        <w:lvlText w:val=""/>
        <w:lvlJc w:val="left"/>
      </w:lvl>
    </w:lvlOverride>
    <w:lvlOverride w:ilvl="1">
      <w:lvl w:ilvl="1">
        <w:start w:val="1"/>
        <w:numFmt w:val="upperLetter"/>
        <w:lvlText w:val="%2."/>
        <w:lvlJc w:val="left"/>
        <w:rPr>
          <w:i w:val="0"/>
          <w:iCs w:val="0"/>
          <w:position w:val="0"/>
          <w:rtl w:val="0"/>
        </w:rPr>
      </w:lvl>
    </w:lvlOverride>
  </w:num>
  <w:num w:numId="16">
    <w:abstractNumId w:val="2"/>
  </w:num>
  <w:num w:numId="17">
    <w:abstractNumId w:val="16"/>
  </w:num>
  <w:num w:numId="18">
    <w:abstractNumId w:val="15"/>
  </w:num>
  <w:num w:numId="19">
    <w:abstractNumId w:val="13"/>
  </w:num>
  <w:num w:numId="20">
    <w:abstractNumId w:val="0"/>
  </w:num>
  <w:num w:numId="21">
    <w:abstractNumId w:val="14"/>
  </w:num>
  <w:num w:numId="22">
    <w:abstractNumId w:val="11"/>
  </w:num>
  <w:num w:numId="23">
    <w:abstractNumId w:val="7"/>
  </w:num>
  <w:num w:numId="24">
    <w:abstractNumId w:val="3"/>
  </w:num>
  <w:num w:numId="25">
    <w:abstractNumId w:val="23"/>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de-DE" w:vendorID="64" w:dllVersion="6" w:nlCheck="1" w:checkStyle="1"/>
  <w:activeWritingStyle w:appName="MSWord" w:lang="en-US" w:vendorID="64" w:dllVersion="6" w:nlCheck="1" w:checkStyle="1"/>
  <w:activeWritingStyle w:appName="MSWord" w:lang="es-ES_tradnl" w:vendorID="64" w:dllVersion="6" w:nlCheck="1" w:checkStyle="1"/>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19"/>
    <w:rsid w:val="0000077B"/>
    <w:rsid w:val="0000165B"/>
    <w:rsid w:val="00001F02"/>
    <w:rsid w:val="00002003"/>
    <w:rsid w:val="00002438"/>
    <w:rsid w:val="000039D8"/>
    <w:rsid w:val="00003D67"/>
    <w:rsid w:val="00004585"/>
    <w:rsid w:val="00004D29"/>
    <w:rsid w:val="00004F1D"/>
    <w:rsid w:val="0000609C"/>
    <w:rsid w:val="000070A6"/>
    <w:rsid w:val="0000718B"/>
    <w:rsid w:val="000106DE"/>
    <w:rsid w:val="00010E78"/>
    <w:rsid w:val="00010EE3"/>
    <w:rsid w:val="00011690"/>
    <w:rsid w:val="000120C9"/>
    <w:rsid w:val="0001357F"/>
    <w:rsid w:val="00013596"/>
    <w:rsid w:val="000147F7"/>
    <w:rsid w:val="00014D3F"/>
    <w:rsid w:val="0001540A"/>
    <w:rsid w:val="00015FE1"/>
    <w:rsid w:val="000165DB"/>
    <w:rsid w:val="00016B9E"/>
    <w:rsid w:val="00016E46"/>
    <w:rsid w:val="000174F1"/>
    <w:rsid w:val="000176EB"/>
    <w:rsid w:val="00017C56"/>
    <w:rsid w:val="00017EF8"/>
    <w:rsid w:val="000200B0"/>
    <w:rsid w:val="0002062D"/>
    <w:rsid w:val="000215DC"/>
    <w:rsid w:val="0002195A"/>
    <w:rsid w:val="00021BED"/>
    <w:rsid w:val="000228CA"/>
    <w:rsid w:val="000228FB"/>
    <w:rsid w:val="00023DC1"/>
    <w:rsid w:val="00026290"/>
    <w:rsid w:val="00026654"/>
    <w:rsid w:val="00026B6A"/>
    <w:rsid w:val="00027084"/>
    <w:rsid w:val="000279B6"/>
    <w:rsid w:val="000302A5"/>
    <w:rsid w:val="0003080C"/>
    <w:rsid w:val="00030F39"/>
    <w:rsid w:val="00031E38"/>
    <w:rsid w:val="000322FE"/>
    <w:rsid w:val="00032319"/>
    <w:rsid w:val="00032D4A"/>
    <w:rsid w:val="00032F9E"/>
    <w:rsid w:val="00033058"/>
    <w:rsid w:val="000332BF"/>
    <w:rsid w:val="00033B04"/>
    <w:rsid w:val="000346B1"/>
    <w:rsid w:val="0003477F"/>
    <w:rsid w:val="00034F03"/>
    <w:rsid w:val="00035022"/>
    <w:rsid w:val="00035DE2"/>
    <w:rsid w:val="000363F1"/>
    <w:rsid w:val="000369EE"/>
    <w:rsid w:val="000379D9"/>
    <w:rsid w:val="00037D95"/>
    <w:rsid w:val="0004042D"/>
    <w:rsid w:val="00040C5D"/>
    <w:rsid w:val="00041DC4"/>
    <w:rsid w:val="000423E2"/>
    <w:rsid w:val="000439A8"/>
    <w:rsid w:val="0004428C"/>
    <w:rsid w:val="000446D4"/>
    <w:rsid w:val="00044C42"/>
    <w:rsid w:val="000468B4"/>
    <w:rsid w:val="000469BF"/>
    <w:rsid w:val="00046AF0"/>
    <w:rsid w:val="00047215"/>
    <w:rsid w:val="000512B7"/>
    <w:rsid w:val="000516EB"/>
    <w:rsid w:val="00052557"/>
    <w:rsid w:val="00052B8D"/>
    <w:rsid w:val="000539A4"/>
    <w:rsid w:val="00053B3C"/>
    <w:rsid w:val="00053BEF"/>
    <w:rsid w:val="00054C3C"/>
    <w:rsid w:val="00055A38"/>
    <w:rsid w:val="00056A1E"/>
    <w:rsid w:val="00056D96"/>
    <w:rsid w:val="00057105"/>
    <w:rsid w:val="00057845"/>
    <w:rsid w:val="00061BEF"/>
    <w:rsid w:val="00062370"/>
    <w:rsid w:val="000624F8"/>
    <w:rsid w:val="00062664"/>
    <w:rsid w:val="000631E5"/>
    <w:rsid w:val="000634C0"/>
    <w:rsid w:val="00063A0A"/>
    <w:rsid w:val="00064184"/>
    <w:rsid w:val="000643BB"/>
    <w:rsid w:val="00065714"/>
    <w:rsid w:val="00065A4F"/>
    <w:rsid w:val="00065C84"/>
    <w:rsid w:val="000668D4"/>
    <w:rsid w:val="00067118"/>
    <w:rsid w:val="000679EB"/>
    <w:rsid w:val="000705B5"/>
    <w:rsid w:val="0007082E"/>
    <w:rsid w:val="00072407"/>
    <w:rsid w:val="00072AF6"/>
    <w:rsid w:val="00072BC8"/>
    <w:rsid w:val="000734E9"/>
    <w:rsid w:val="00073BCF"/>
    <w:rsid w:val="0007406B"/>
    <w:rsid w:val="00074D29"/>
    <w:rsid w:val="00074E44"/>
    <w:rsid w:val="00076564"/>
    <w:rsid w:val="000767A0"/>
    <w:rsid w:val="00076E9C"/>
    <w:rsid w:val="00077032"/>
    <w:rsid w:val="00077BFB"/>
    <w:rsid w:val="00077FF3"/>
    <w:rsid w:val="00080BB4"/>
    <w:rsid w:val="000829FA"/>
    <w:rsid w:val="00084676"/>
    <w:rsid w:val="00084F78"/>
    <w:rsid w:val="000850F7"/>
    <w:rsid w:val="00085ABC"/>
    <w:rsid w:val="00085D07"/>
    <w:rsid w:val="00086139"/>
    <w:rsid w:val="000868CE"/>
    <w:rsid w:val="00086993"/>
    <w:rsid w:val="00086AE8"/>
    <w:rsid w:val="00087298"/>
    <w:rsid w:val="00090437"/>
    <w:rsid w:val="0009076D"/>
    <w:rsid w:val="00090858"/>
    <w:rsid w:val="00091941"/>
    <w:rsid w:val="00092D86"/>
    <w:rsid w:val="00093210"/>
    <w:rsid w:val="00093BF8"/>
    <w:rsid w:val="00093D51"/>
    <w:rsid w:val="000942C8"/>
    <w:rsid w:val="00094563"/>
    <w:rsid w:val="00095513"/>
    <w:rsid w:val="0009582A"/>
    <w:rsid w:val="00095898"/>
    <w:rsid w:val="00095908"/>
    <w:rsid w:val="00096690"/>
    <w:rsid w:val="00096754"/>
    <w:rsid w:val="0009699E"/>
    <w:rsid w:val="00097476"/>
    <w:rsid w:val="00097514"/>
    <w:rsid w:val="000978E6"/>
    <w:rsid w:val="00097C9D"/>
    <w:rsid w:val="000A0083"/>
    <w:rsid w:val="000A0E6F"/>
    <w:rsid w:val="000A11E0"/>
    <w:rsid w:val="000A150F"/>
    <w:rsid w:val="000A1859"/>
    <w:rsid w:val="000A1A32"/>
    <w:rsid w:val="000A1D4D"/>
    <w:rsid w:val="000A1DD1"/>
    <w:rsid w:val="000A1EDB"/>
    <w:rsid w:val="000A2218"/>
    <w:rsid w:val="000A3513"/>
    <w:rsid w:val="000A373D"/>
    <w:rsid w:val="000A41F1"/>
    <w:rsid w:val="000A59BF"/>
    <w:rsid w:val="000A5B0D"/>
    <w:rsid w:val="000A5B1B"/>
    <w:rsid w:val="000A5EA7"/>
    <w:rsid w:val="000A6CD8"/>
    <w:rsid w:val="000B0112"/>
    <w:rsid w:val="000B128E"/>
    <w:rsid w:val="000B23E8"/>
    <w:rsid w:val="000B2D88"/>
    <w:rsid w:val="000B2DE4"/>
    <w:rsid w:val="000B3E46"/>
    <w:rsid w:val="000B4090"/>
    <w:rsid w:val="000B47E2"/>
    <w:rsid w:val="000B4D2E"/>
    <w:rsid w:val="000B62C8"/>
    <w:rsid w:val="000B652F"/>
    <w:rsid w:val="000B68EB"/>
    <w:rsid w:val="000B6E14"/>
    <w:rsid w:val="000B755D"/>
    <w:rsid w:val="000B75B1"/>
    <w:rsid w:val="000B7601"/>
    <w:rsid w:val="000C0BD4"/>
    <w:rsid w:val="000C0CAE"/>
    <w:rsid w:val="000C0DD2"/>
    <w:rsid w:val="000C10AB"/>
    <w:rsid w:val="000C1B5B"/>
    <w:rsid w:val="000C1CD2"/>
    <w:rsid w:val="000C280E"/>
    <w:rsid w:val="000C2C02"/>
    <w:rsid w:val="000C321B"/>
    <w:rsid w:val="000C3443"/>
    <w:rsid w:val="000C3BEE"/>
    <w:rsid w:val="000C4239"/>
    <w:rsid w:val="000C4AF9"/>
    <w:rsid w:val="000C6756"/>
    <w:rsid w:val="000C7CCD"/>
    <w:rsid w:val="000C7D2E"/>
    <w:rsid w:val="000D007C"/>
    <w:rsid w:val="000D036E"/>
    <w:rsid w:val="000D0466"/>
    <w:rsid w:val="000D0842"/>
    <w:rsid w:val="000D3D03"/>
    <w:rsid w:val="000D4227"/>
    <w:rsid w:val="000D616A"/>
    <w:rsid w:val="000D65F4"/>
    <w:rsid w:val="000D6EC6"/>
    <w:rsid w:val="000D7B9A"/>
    <w:rsid w:val="000E050B"/>
    <w:rsid w:val="000E0778"/>
    <w:rsid w:val="000E1F51"/>
    <w:rsid w:val="000E2358"/>
    <w:rsid w:val="000E2B95"/>
    <w:rsid w:val="000E2FED"/>
    <w:rsid w:val="000E3169"/>
    <w:rsid w:val="000E337E"/>
    <w:rsid w:val="000E34EE"/>
    <w:rsid w:val="000E48AC"/>
    <w:rsid w:val="000E543E"/>
    <w:rsid w:val="000E6298"/>
    <w:rsid w:val="000E69EC"/>
    <w:rsid w:val="000E6B2D"/>
    <w:rsid w:val="000E738D"/>
    <w:rsid w:val="000E7AC8"/>
    <w:rsid w:val="000F044E"/>
    <w:rsid w:val="000F0580"/>
    <w:rsid w:val="000F1BE6"/>
    <w:rsid w:val="000F2230"/>
    <w:rsid w:val="000F2270"/>
    <w:rsid w:val="000F3146"/>
    <w:rsid w:val="000F389C"/>
    <w:rsid w:val="000F40FD"/>
    <w:rsid w:val="000F49BE"/>
    <w:rsid w:val="000F51F3"/>
    <w:rsid w:val="000F5707"/>
    <w:rsid w:val="000F5BAA"/>
    <w:rsid w:val="000F6411"/>
    <w:rsid w:val="000F6A29"/>
    <w:rsid w:val="000F742B"/>
    <w:rsid w:val="000F7AF2"/>
    <w:rsid w:val="0010007A"/>
    <w:rsid w:val="00100710"/>
    <w:rsid w:val="00101D59"/>
    <w:rsid w:val="00102654"/>
    <w:rsid w:val="001028BC"/>
    <w:rsid w:val="00102D20"/>
    <w:rsid w:val="00102E88"/>
    <w:rsid w:val="001030CA"/>
    <w:rsid w:val="0010360D"/>
    <w:rsid w:val="00104C22"/>
    <w:rsid w:val="00104F0C"/>
    <w:rsid w:val="00105771"/>
    <w:rsid w:val="00106072"/>
    <w:rsid w:val="001069A1"/>
    <w:rsid w:val="001101A3"/>
    <w:rsid w:val="00110387"/>
    <w:rsid w:val="00110DA3"/>
    <w:rsid w:val="00111E81"/>
    <w:rsid w:val="00113EA3"/>
    <w:rsid w:val="00114105"/>
    <w:rsid w:val="001169DA"/>
    <w:rsid w:val="00116FE7"/>
    <w:rsid w:val="00117DF0"/>
    <w:rsid w:val="0012021B"/>
    <w:rsid w:val="0012069F"/>
    <w:rsid w:val="00120E9C"/>
    <w:rsid w:val="001213A4"/>
    <w:rsid w:val="00121751"/>
    <w:rsid w:val="00121D12"/>
    <w:rsid w:val="001222D5"/>
    <w:rsid w:val="0012360E"/>
    <w:rsid w:val="001245C9"/>
    <w:rsid w:val="00124627"/>
    <w:rsid w:val="00124BAD"/>
    <w:rsid w:val="00124CF1"/>
    <w:rsid w:val="00124DE0"/>
    <w:rsid w:val="00125FD5"/>
    <w:rsid w:val="00126603"/>
    <w:rsid w:val="00126806"/>
    <w:rsid w:val="00126E0F"/>
    <w:rsid w:val="00127E1A"/>
    <w:rsid w:val="001300B0"/>
    <w:rsid w:val="00130190"/>
    <w:rsid w:val="00131E28"/>
    <w:rsid w:val="00132443"/>
    <w:rsid w:val="001324CB"/>
    <w:rsid w:val="00132A19"/>
    <w:rsid w:val="00132F1E"/>
    <w:rsid w:val="00133827"/>
    <w:rsid w:val="00136B2F"/>
    <w:rsid w:val="001372CD"/>
    <w:rsid w:val="00137C2B"/>
    <w:rsid w:val="0014117D"/>
    <w:rsid w:val="00141380"/>
    <w:rsid w:val="00141C7A"/>
    <w:rsid w:val="0014284A"/>
    <w:rsid w:val="00143178"/>
    <w:rsid w:val="001435FB"/>
    <w:rsid w:val="0014379E"/>
    <w:rsid w:val="0014392C"/>
    <w:rsid w:val="00144044"/>
    <w:rsid w:val="00144A41"/>
    <w:rsid w:val="00144C87"/>
    <w:rsid w:val="00144EC3"/>
    <w:rsid w:val="00145026"/>
    <w:rsid w:val="00145CB9"/>
    <w:rsid w:val="00145E2C"/>
    <w:rsid w:val="00146340"/>
    <w:rsid w:val="001473F1"/>
    <w:rsid w:val="001477D5"/>
    <w:rsid w:val="00147807"/>
    <w:rsid w:val="00151645"/>
    <w:rsid w:val="001518E8"/>
    <w:rsid w:val="0015283F"/>
    <w:rsid w:val="001535B5"/>
    <w:rsid w:val="00153BD2"/>
    <w:rsid w:val="00153ED6"/>
    <w:rsid w:val="001541F4"/>
    <w:rsid w:val="001551C1"/>
    <w:rsid w:val="00155389"/>
    <w:rsid w:val="00155631"/>
    <w:rsid w:val="00155BF4"/>
    <w:rsid w:val="00155E9F"/>
    <w:rsid w:val="0015608A"/>
    <w:rsid w:val="00156BEA"/>
    <w:rsid w:val="001571E9"/>
    <w:rsid w:val="0015768F"/>
    <w:rsid w:val="001604A8"/>
    <w:rsid w:val="0016088E"/>
    <w:rsid w:val="00160BFF"/>
    <w:rsid w:val="00160E2A"/>
    <w:rsid w:val="0016101C"/>
    <w:rsid w:val="00161F14"/>
    <w:rsid w:val="00161FD1"/>
    <w:rsid w:val="00161FD2"/>
    <w:rsid w:val="00162177"/>
    <w:rsid w:val="001623D1"/>
    <w:rsid w:val="0016250F"/>
    <w:rsid w:val="00165A66"/>
    <w:rsid w:val="00165BB3"/>
    <w:rsid w:val="0016644A"/>
    <w:rsid w:val="001669C2"/>
    <w:rsid w:val="00166B03"/>
    <w:rsid w:val="00166B63"/>
    <w:rsid w:val="00167F8F"/>
    <w:rsid w:val="00170B93"/>
    <w:rsid w:val="00171476"/>
    <w:rsid w:val="00171C6F"/>
    <w:rsid w:val="001723A7"/>
    <w:rsid w:val="00172A29"/>
    <w:rsid w:val="00173E41"/>
    <w:rsid w:val="0017447D"/>
    <w:rsid w:val="00174D30"/>
    <w:rsid w:val="0017505A"/>
    <w:rsid w:val="00175210"/>
    <w:rsid w:val="00175E97"/>
    <w:rsid w:val="001760E4"/>
    <w:rsid w:val="00176648"/>
    <w:rsid w:val="00176B9B"/>
    <w:rsid w:val="00177C1A"/>
    <w:rsid w:val="00181D2A"/>
    <w:rsid w:val="00182084"/>
    <w:rsid w:val="001823CE"/>
    <w:rsid w:val="001823DB"/>
    <w:rsid w:val="001826C3"/>
    <w:rsid w:val="00182726"/>
    <w:rsid w:val="00182785"/>
    <w:rsid w:val="00182E0B"/>
    <w:rsid w:val="00182E66"/>
    <w:rsid w:val="00184FE0"/>
    <w:rsid w:val="00185C31"/>
    <w:rsid w:val="00185DD5"/>
    <w:rsid w:val="00186499"/>
    <w:rsid w:val="001879FA"/>
    <w:rsid w:val="00187F1E"/>
    <w:rsid w:val="00190975"/>
    <w:rsid w:val="0019107A"/>
    <w:rsid w:val="001913F9"/>
    <w:rsid w:val="001917D3"/>
    <w:rsid w:val="00191D79"/>
    <w:rsid w:val="00191D7C"/>
    <w:rsid w:val="0019315D"/>
    <w:rsid w:val="0019407F"/>
    <w:rsid w:val="0019489C"/>
    <w:rsid w:val="00194B60"/>
    <w:rsid w:val="00194EA1"/>
    <w:rsid w:val="001953D8"/>
    <w:rsid w:val="001956D8"/>
    <w:rsid w:val="0019572E"/>
    <w:rsid w:val="00195CFB"/>
    <w:rsid w:val="001961E5"/>
    <w:rsid w:val="00196688"/>
    <w:rsid w:val="001969B8"/>
    <w:rsid w:val="0019701B"/>
    <w:rsid w:val="001A0981"/>
    <w:rsid w:val="001A1164"/>
    <w:rsid w:val="001A125D"/>
    <w:rsid w:val="001A1DD5"/>
    <w:rsid w:val="001A2720"/>
    <w:rsid w:val="001A298D"/>
    <w:rsid w:val="001A3F62"/>
    <w:rsid w:val="001A4CDE"/>
    <w:rsid w:val="001A51FC"/>
    <w:rsid w:val="001A5713"/>
    <w:rsid w:val="001A6115"/>
    <w:rsid w:val="001A6A92"/>
    <w:rsid w:val="001A7575"/>
    <w:rsid w:val="001A7724"/>
    <w:rsid w:val="001A79DF"/>
    <w:rsid w:val="001A7E60"/>
    <w:rsid w:val="001B05E4"/>
    <w:rsid w:val="001B0C25"/>
    <w:rsid w:val="001B328C"/>
    <w:rsid w:val="001B3E03"/>
    <w:rsid w:val="001B43B4"/>
    <w:rsid w:val="001B4B10"/>
    <w:rsid w:val="001B4C7D"/>
    <w:rsid w:val="001B548A"/>
    <w:rsid w:val="001B5C1B"/>
    <w:rsid w:val="001B7332"/>
    <w:rsid w:val="001C0042"/>
    <w:rsid w:val="001C05D0"/>
    <w:rsid w:val="001C1826"/>
    <w:rsid w:val="001C1C47"/>
    <w:rsid w:val="001C200C"/>
    <w:rsid w:val="001C23FF"/>
    <w:rsid w:val="001C3C00"/>
    <w:rsid w:val="001C3E65"/>
    <w:rsid w:val="001C3FBB"/>
    <w:rsid w:val="001C4EF5"/>
    <w:rsid w:val="001C5606"/>
    <w:rsid w:val="001C5DF2"/>
    <w:rsid w:val="001C62A9"/>
    <w:rsid w:val="001C6AF4"/>
    <w:rsid w:val="001C7E30"/>
    <w:rsid w:val="001C7F10"/>
    <w:rsid w:val="001C7F3A"/>
    <w:rsid w:val="001D0E3C"/>
    <w:rsid w:val="001D0E74"/>
    <w:rsid w:val="001D107B"/>
    <w:rsid w:val="001D25BD"/>
    <w:rsid w:val="001D28B2"/>
    <w:rsid w:val="001D3135"/>
    <w:rsid w:val="001D32BE"/>
    <w:rsid w:val="001D3525"/>
    <w:rsid w:val="001D35B4"/>
    <w:rsid w:val="001D41B4"/>
    <w:rsid w:val="001D4F5A"/>
    <w:rsid w:val="001D5377"/>
    <w:rsid w:val="001D5544"/>
    <w:rsid w:val="001D5840"/>
    <w:rsid w:val="001D5D5E"/>
    <w:rsid w:val="001D7A18"/>
    <w:rsid w:val="001D7A35"/>
    <w:rsid w:val="001E0C3F"/>
    <w:rsid w:val="001E1B62"/>
    <w:rsid w:val="001E2429"/>
    <w:rsid w:val="001E3217"/>
    <w:rsid w:val="001E3B78"/>
    <w:rsid w:val="001E3C3D"/>
    <w:rsid w:val="001E4A35"/>
    <w:rsid w:val="001E4FC0"/>
    <w:rsid w:val="001E50B4"/>
    <w:rsid w:val="001E52BC"/>
    <w:rsid w:val="001E533D"/>
    <w:rsid w:val="001E5576"/>
    <w:rsid w:val="001E5EE8"/>
    <w:rsid w:val="001E7D03"/>
    <w:rsid w:val="001F0A78"/>
    <w:rsid w:val="001F1B15"/>
    <w:rsid w:val="001F1FC1"/>
    <w:rsid w:val="001F21F1"/>
    <w:rsid w:val="001F25BF"/>
    <w:rsid w:val="001F2E7B"/>
    <w:rsid w:val="001F35A3"/>
    <w:rsid w:val="001F5164"/>
    <w:rsid w:val="001F5634"/>
    <w:rsid w:val="001F6947"/>
    <w:rsid w:val="001F7D91"/>
    <w:rsid w:val="00200740"/>
    <w:rsid w:val="00200CDB"/>
    <w:rsid w:val="00200E45"/>
    <w:rsid w:val="00202946"/>
    <w:rsid w:val="002036FF"/>
    <w:rsid w:val="00204F91"/>
    <w:rsid w:val="00205696"/>
    <w:rsid w:val="00206094"/>
    <w:rsid w:val="00206569"/>
    <w:rsid w:val="00206571"/>
    <w:rsid w:val="00207BA7"/>
    <w:rsid w:val="0021007D"/>
    <w:rsid w:val="00210306"/>
    <w:rsid w:val="002103C0"/>
    <w:rsid w:val="00210C26"/>
    <w:rsid w:val="00212E77"/>
    <w:rsid w:val="00213337"/>
    <w:rsid w:val="00214136"/>
    <w:rsid w:val="002148EA"/>
    <w:rsid w:val="0021504C"/>
    <w:rsid w:val="00215B47"/>
    <w:rsid w:val="002165B4"/>
    <w:rsid w:val="0021719C"/>
    <w:rsid w:val="00217E45"/>
    <w:rsid w:val="002207D1"/>
    <w:rsid w:val="0022118B"/>
    <w:rsid w:val="00221313"/>
    <w:rsid w:val="0022145F"/>
    <w:rsid w:val="00221A1A"/>
    <w:rsid w:val="00221A4B"/>
    <w:rsid w:val="0022235A"/>
    <w:rsid w:val="00222638"/>
    <w:rsid w:val="00223290"/>
    <w:rsid w:val="002245ED"/>
    <w:rsid w:val="0022466D"/>
    <w:rsid w:val="0022487B"/>
    <w:rsid w:val="00224DC6"/>
    <w:rsid w:val="00224F9B"/>
    <w:rsid w:val="00227737"/>
    <w:rsid w:val="00231617"/>
    <w:rsid w:val="002318AA"/>
    <w:rsid w:val="00231B8E"/>
    <w:rsid w:val="00232D19"/>
    <w:rsid w:val="00234B3C"/>
    <w:rsid w:val="002358EE"/>
    <w:rsid w:val="00236113"/>
    <w:rsid w:val="0023612A"/>
    <w:rsid w:val="00236616"/>
    <w:rsid w:val="002369D8"/>
    <w:rsid w:val="00236CD3"/>
    <w:rsid w:val="00237106"/>
    <w:rsid w:val="0023781C"/>
    <w:rsid w:val="00237D3A"/>
    <w:rsid w:val="0024003F"/>
    <w:rsid w:val="0024019A"/>
    <w:rsid w:val="00240663"/>
    <w:rsid w:val="00240780"/>
    <w:rsid w:val="00242285"/>
    <w:rsid w:val="00242384"/>
    <w:rsid w:val="00243146"/>
    <w:rsid w:val="0024484F"/>
    <w:rsid w:val="00244C36"/>
    <w:rsid w:val="00245349"/>
    <w:rsid w:val="00245731"/>
    <w:rsid w:val="0024584C"/>
    <w:rsid w:val="00245925"/>
    <w:rsid w:val="002465F2"/>
    <w:rsid w:val="002474A1"/>
    <w:rsid w:val="0025010A"/>
    <w:rsid w:val="002507E9"/>
    <w:rsid w:val="002512A9"/>
    <w:rsid w:val="002512E6"/>
    <w:rsid w:val="00252627"/>
    <w:rsid w:val="002550E6"/>
    <w:rsid w:val="00255469"/>
    <w:rsid w:val="00256EFD"/>
    <w:rsid w:val="002570D7"/>
    <w:rsid w:val="00257D57"/>
    <w:rsid w:val="00257E44"/>
    <w:rsid w:val="0026016A"/>
    <w:rsid w:val="00260659"/>
    <w:rsid w:val="002610AF"/>
    <w:rsid w:val="002615DE"/>
    <w:rsid w:val="00261A10"/>
    <w:rsid w:val="00262BDD"/>
    <w:rsid w:val="002630FE"/>
    <w:rsid w:val="002637EC"/>
    <w:rsid w:val="00263943"/>
    <w:rsid w:val="00264104"/>
    <w:rsid w:val="0026441A"/>
    <w:rsid w:val="00264D04"/>
    <w:rsid w:val="0026527A"/>
    <w:rsid w:val="002653BC"/>
    <w:rsid w:val="0026553B"/>
    <w:rsid w:val="0026658C"/>
    <w:rsid w:val="00266F9C"/>
    <w:rsid w:val="0027015F"/>
    <w:rsid w:val="00270378"/>
    <w:rsid w:val="00270575"/>
    <w:rsid w:val="00270E2D"/>
    <w:rsid w:val="00271B1B"/>
    <w:rsid w:val="00272339"/>
    <w:rsid w:val="002727A2"/>
    <w:rsid w:val="002728CC"/>
    <w:rsid w:val="00272ECB"/>
    <w:rsid w:val="00273491"/>
    <w:rsid w:val="002736E6"/>
    <w:rsid w:val="00273A10"/>
    <w:rsid w:val="00273FAE"/>
    <w:rsid w:val="00274B60"/>
    <w:rsid w:val="002753C6"/>
    <w:rsid w:val="002759C2"/>
    <w:rsid w:val="00276022"/>
    <w:rsid w:val="0027672E"/>
    <w:rsid w:val="002778A5"/>
    <w:rsid w:val="00280B49"/>
    <w:rsid w:val="002822E4"/>
    <w:rsid w:val="00283710"/>
    <w:rsid w:val="00283AA6"/>
    <w:rsid w:val="00284555"/>
    <w:rsid w:val="00285AAB"/>
    <w:rsid w:val="002864AB"/>
    <w:rsid w:val="002879F4"/>
    <w:rsid w:val="0029008C"/>
    <w:rsid w:val="002907E9"/>
    <w:rsid w:val="002915D9"/>
    <w:rsid w:val="002927C1"/>
    <w:rsid w:val="00293114"/>
    <w:rsid w:val="00294F39"/>
    <w:rsid w:val="002952B3"/>
    <w:rsid w:val="00295A04"/>
    <w:rsid w:val="00296120"/>
    <w:rsid w:val="00296238"/>
    <w:rsid w:val="002A0347"/>
    <w:rsid w:val="002A1129"/>
    <w:rsid w:val="002A13FA"/>
    <w:rsid w:val="002A25D6"/>
    <w:rsid w:val="002A2631"/>
    <w:rsid w:val="002A2897"/>
    <w:rsid w:val="002A448F"/>
    <w:rsid w:val="002A44FB"/>
    <w:rsid w:val="002A53D6"/>
    <w:rsid w:val="002A5765"/>
    <w:rsid w:val="002A59EB"/>
    <w:rsid w:val="002A5D56"/>
    <w:rsid w:val="002A618A"/>
    <w:rsid w:val="002A7B6D"/>
    <w:rsid w:val="002A7F37"/>
    <w:rsid w:val="002B01EE"/>
    <w:rsid w:val="002B076B"/>
    <w:rsid w:val="002B094D"/>
    <w:rsid w:val="002B0DC1"/>
    <w:rsid w:val="002B1061"/>
    <w:rsid w:val="002B1279"/>
    <w:rsid w:val="002B1A59"/>
    <w:rsid w:val="002B20A9"/>
    <w:rsid w:val="002B315D"/>
    <w:rsid w:val="002B3CFE"/>
    <w:rsid w:val="002B413C"/>
    <w:rsid w:val="002B4314"/>
    <w:rsid w:val="002B45E0"/>
    <w:rsid w:val="002B4665"/>
    <w:rsid w:val="002B69F3"/>
    <w:rsid w:val="002B7067"/>
    <w:rsid w:val="002B74A9"/>
    <w:rsid w:val="002B7BB9"/>
    <w:rsid w:val="002C0712"/>
    <w:rsid w:val="002C0924"/>
    <w:rsid w:val="002C0D46"/>
    <w:rsid w:val="002C0F45"/>
    <w:rsid w:val="002C2A7F"/>
    <w:rsid w:val="002C36B8"/>
    <w:rsid w:val="002C3C2A"/>
    <w:rsid w:val="002C429C"/>
    <w:rsid w:val="002C5054"/>
    <w:rsid w:val="002C5173"/>
    <w:rsid w:val="002C626D"/>
    <w:rsid w:val="002C633A"/>
    <w:rsid w:val="002C6F02"/>
    <w:rsid w:val="002C70B7"/>
    <w:rsid w:val="002D0139"/>
    <w:rsid w:val="002D0816"/>
    <w:rsid w:val="002D1DBC"/>
    <w:rsid w:val="002D21FC"/>
    <w:rsid w:val="002D2413"/>
    <w:rsid w:val="002D3D56"/>
    <w:rsid w:val="002D3EC1"/>
    <w:rsid w:val="002D4C51"/>
    <w:rsid w:val="002D5C12"/>
    <w:rsid w:val="002D5D0C"/>
    <w:rsid w:val="002D5FA8"/>
    <w:rsid w:val="002D681D"/>
    <w:rsid w:val="002E03C1"/>
    <w:rsid w:val="002E04F7"/>
    <w:rsid w:val="002E0F60"/>
    <w:rsid w:val="002E0F6A"/>
    <w:rsid w:val="002E14A6"/>
    <w:rsid w:val="002E19AF"/>
    <w:rsid w:val="002E1FF6"/>
    <w:rsid w:val="002E2303"/>
    <w:rsid w:val="002E340A"/>
    <w:rsid w:val="002E3766"/>
    <w:rsid w:val="002E476C"/>
    <w:rsid w:val="002E5828"/>
    <w:rsid w:val="002E58DD"/>
    <w:rsid w:val="002E5C1B"/>
    <w:rsid w:val="002E68A3"/>
    <w:rsid w:val="002E695E"/>
    <w:rsid w:val="002E6BD4"/>
    <w:rsid w:val="002F0181"/>
    <w:rsid w:val="002F1103"/>
    <w:rsid w:val="002F14F5"/>
    <w:rsid w:val="002F1A07"/>
    <w:rsid w:val="002F2605"/>
    <w:rsid w:val="002F34D4"/>
    <w:rsid w:val="002F36C7"/>
    <w:rsid w:val="002F3AD4"/>
    <w:rsid w:val="002F4149"/>
    <w:rsid w:val="002F466D"/>
    <w:rsid w:val="002F49EB"/>
    <w:rsid w:val="002F4B80"/>
    <w:rsid w:val="002F5269"/>
    <w:rsid w:val="002F5544"/>
    <w:rsid w:val="002F5BA9"/>
    <w:rsid w:val="002F6599"/>
    <w:rsid w:val="002F68CC"/>
    <w:rsid w:val="002F69BD"/>
    <w:rsid w:val="003001BC"/>
    <w:rsid w:val="00300A4A"/>
    <w:rsid w:val="00301907"/>
    <w:rsid w:val="00302223"/>
    <w:rsid w:val="003023AF"/>
    <w:rsid w:val="00302452"/>
    <w:rsid w:val="00303166"/>
    <w:rsid w:val="003034AC"/>
    <w:rsid w:val="00303CC1"/>
    <w:rsid w:val="003041BF"/>
    <w:rsid w:val="0030514D"/>
    <w:rsid w:val="00306099"/>
    <w:rsid w:val="0030664C"/>
    <w:rsid w:val="003068BF"/>
    <w:rsid w:val="003073BD"/>
    <w:rsid w:val="00307780"/>
    <w:rsid w:val="00307AB3"/>
    <w:rsid w:val="003108AA"/>
    <w:rsid w:val="00310CE6"/>
    <w:rsid w:val="0031259F"/>
    <w:rsid w:val="0031289F"/>
    <w:rsid w:val="00313202"/>
    <w:rsid w:val="00314190"/>
    <w:rsid w:val="00314F8F"/>
    <w:rsid w:val="003168E7"/>
    <w:rsid w:val="00316B0A"/>
    <w:rsid w:val="0031717F"/>
    <w:rsid w:val="0032035D"/>
    <w:rsid w:val="0032154C"/>
    <w:rsid w:val="00322752"/>
    <w:rsid w:val="0032364E"/>
    <w:rsid w:val="00324760"/>
    <w:rsid w:val="003253CD"/>
    <w:rsid w:val="00325410"/>
    <w:rsid w:val="003257C1"/>
    <w:rsid w:val="00325B41"/>
    <w:rsid w:val="003263A0"/>
    <w:rsid w:val="00327763"/>
    <w:rsid w:val="00327A3C"/>
    <w:rsid w:val="0033019B"/>
    <w:rsid w:val="003304E3"/>
    <w:rsid w:val="00330FBC"/>
    <w:rsid w:val="0033126B"/>
    <w:rsid w:val="0033314D"/>
    <w:rsid w:val="0033376D"/>
    <w:rsid w:val="00333A78"/>
    <w:rsid w:val="00333EAB"/>
    <w:rsid w:val="003343B7"/>
    <w:rsid w:val="00334B9A"/>
    <w:rsid w:val="00334F97"/>
    <w:rsid w:val="00335427"/>
    <w:rsid w:val="0033796E"/>
    <w:rsid w:val="003406E1"/>
    <w:rsid w:val="00340A5F"/>
    <w:rsid w:val="00340EE9"/>
    <w:rsid w:val="003419A7"/>
    <w:rsid w:val="0034246B"/>
    <w:rsid w:val="00343BFC"/>
    <w:rsid w:val="0034407A"/>
    <w:rsid w:val="003441F9"/>
    <w:rsid w:val="00344B33"/>
    <w:rsid w:val="0034552E"/>
    <w:rsid w:val="00345F19"/>
    <w:rsid w:val="0034652A"/>
    <w:rsid w:val="0034670A"/>
    <w:rsid w:val="00346E5F"/>
    <w:rsid w:val="003470CC"/>
    <w:rsid w:val="00350450"/>
    <w:rsid w:val="0035051D"/>
    <w:rsid w:val="00350D47"/>
    <w:rsid w:val="003511F7"/>
    <w:rsid w:val="003516C6"/>
    <w:rsid w:val="00351989"/>
    <w:rsid w:val="00351D34"/>
    <w:rsid w:val="00351F88"/>
    <w:rsid w:val="00352C6F"/>
    <w:rsid w:val="003533FC"/>
    <w:rsid w:val="003544F5"/>
    <w:rsid w:val="00354EED"/>
    <w:rsid w:val="003552A6"/>
    <w:rsid w:val="00356B45"/>
    <w:rsid w:val="00356D7A"/>
    <w:rsid w:val="00357235"/>
    <w:rsid w:val="0035738F"/>
    <w:rsid w:val="00360AF1"/>
    <w:rsid w:val="00362241"/>
    <w:rsid w:val="00362320"/>
    <w:rsid w:val="003625E8"/>
    <w:rsid w:val="003637A2"/>
    <w:rsid w:val="00363B5C"/>
    <w:rsid w:val="00364031"/>
    <w:rsid w:val="0036447B"/>
    <w:rsid w:val="00365312"/>
    <w:rsid w:val="00366702"/>
    <w:rsid w:val="00366730"/>
    <w:rsid w:val="00366EE3"/>
    <w:rsid w:val="0037015C"/>
    <w:rsid w:val="00370196"/>
    <w:rsid w:val="00371885"/>
    <w:rsid w:val="003721D2"/>
    <w:rsid w:val="00372774"/>
    <w:rsid w:val="00372847"/>
    <w:rsid w:val="00372F40"/>
    <w:rsid w:val="003749D5"/>
    <w:rsid w:val="00374D58"/>
    <w:rsid w:val="00375C2E"/>
    <w:rsid w:val="00375FD4"/>
    <w:rsid w:val="0037707E"/>
    <w:rsid w:val="003827E7"/>
    <w:rsid w:val="00382D98"/>
    <w:rsid w:val="0038393D"/>
    <w:rsid w:val="00383C10"/>
    <w:rsid w:val="00383DFC"/>
    <w:rsid w:val="00384896"/>
    <w:rsid w:val="00385116"/>
    <w:rsid w:val="00386E8E"/>
    <w:rsid w:val="00390146"/>
    <w:rsid w:val="003901B1"/>
    <w:rsid w:val="0039144E"/>
    <w:rsid w:val="00391E22"/>
    <w:rsid w:val="003920E1"/>
    <w:rsid w:val="00392955"/>
    <w:rsid w:val="00393E7C"/>
    <w:rsid w:val="0039403B"/>
    <w:rsid w:val="00394745"/>
    <w:rsid w:val="003974C1"/>
    <w:rsid w:val="003A02E2"/>
    <w:rsid w:val="003A058F"/>
    <w:rsid w:val="003A0970"/>
    <w:rsid w:val="003A0A8D"/>
    <w:rsid w:val="003A1162"/>
    <w:rsid w:val="003A2314"/>
    <w:rsid w:val="003A2692"/>
    <w:rsid w:val="003A28F0"/>
    <w:rsid w:val="003A65DF"/>
    <w:rsid w:val="003A7129"/>
    <w:rsid w:val="003B0657"/>
    <w:rsid w:val="003B06BC"/>
    <w:rsid w:val="003B0A76"/>
    <w:rsid w:val="003B0F9E"/>
    <w:rsid w:val="003B1B5A"/>
    <w:rsid w:val="003B21F6"/>
    <w:rsid w:val="003B2328"/>
    <w:rsid w:val="003B3326"/>
    <w:rsid w:val="003B50E6"/>
    <w:rsid w:val="003C02E6"/>
    <w:rsid w:val="003C07FE"/>
    <w:rsid w:val="003C0A9C"/>
    <w:rsid w:val="003C0B78"/>
    <w:rsid w:val="003C0C7C"/>
    <w:rsid w:val="003C1219"/>
    <w:rsid w:val="003C1C5A"/>
    <w:rsid w:val="003C1F18"/>
    <w:rsid w:val="003C2850"/>
    <w:rsid w:val="003C2998"/>
    <w:rsid w:val="003C31A3"/>
    <w:rsid w:val="003C4775"/>
    <w:rsid w:val="003C4822"/>
    <w:rsid w:val="003C5CD9"/>
    <w:rsid w:val="003C719E"/>
    <w:rsid w:val="003C721F"/>
    <w:rsid w:val="003C7A92"/>
    <w:rsid w:val="003D04EE"/>
    <w:rsid w:val="003D0E3F"/>
    <w:rsid w:val="003D14F4"/>
    <w:rsid w:val="003D1614"/>
    <w:rsid w:val="003D2919"/>
    <w:rsid w:val="003D302F"/>
    <w:rsid w:val="003D349E"/>
    <w:rsid w:val="003D7BFD"/>
    <w:rsid w:val="003D7FCE"/>
    <w:rsid w:val="003E004C"/>
    <w:rsid w:val="003E04D2"/>
    <w:rsid w:val="003E1054"/>
    <w:rsid w:val="003E310D"/>
    <w:rsid w:val="003E3C4D"/>
    <w:rsid w:val="003E682B"/>
    <w:rsid w:val="003E76CE"/>
    <w:rsid w:val="003E787C"/>
    <w:rsid w:val="003E798F"/>
    <w:rsid w:val="003F06FB"/>
    <w:rsid w:val="003F08E2"/>
    <w:rsid w:val="003F0C0C"/>
    <w:rsid w:val="003F16BD"/>
    <w:rsid w:val="003F1ABD"/>
    <w:rsid w:val="003F1D5F"/>
    <w:rsid w:val="003F256D"/>
    <w:rsid w:val="003F2872"/>
    <w:rsid w:val="003F2911"/>
    <w:rsid w:val="003F2F78"/>
    <w:rsid w:val="003F2F81"/>
    <w:rsid w:val="003F2FDA"/>
    <w:rsid w:val="003F34E3"/>
    <w:rsid w:val="003F4B0C"/>
    <w:rsid w:val="003F4DF8"/>
    <w:rsid w:val="003F50F9"/>
    <w:rsid w:val="003F58E1"/>
    <w:rsid w:val="003F6E1E"/>
    <w:rsid w:val="003F6E44"/>
    <w:rsid w:val="003F77C0"/>
    <w:rsid w:val="003F7B6D"/>
    <w:rsid w:val="004004DD"/>
    <w:rsid w:val="00400AD4"/>
    <w:rsid w:val="00401326"/>
    <w:rsid w:val="00401E58"/>
    <w:rsid w:val="00404312"/>
    <w:rsid w:val="0040494B"/>
    <w:rsid w:val="00404DA1"/>
    <w:rsid w:val="00404EA5"/>
    <w:rsid w:val="00405062"/>
    <w:rsid w:val="004057DE"/>
    <w:rsid w:val="00406C1F"/>
    <w:rsid w:val="004072E1"/>
    <w:rsid w:val="004074AD"/>
    <w:rsid w:val="00410A28"/>
    <w:rsid w:val="004118EB"/>
    <w:rsid w:val="00411C27"/>
    <w:rsid w:val="00411CD8"/>
    <w:rsid w:val="00412063"/>
    <w:rsid w:val="0041237E"/>
    <w:rsid w:val="00413493"/>
    <w:rsid w:val="00413E3D"/>
    <w:rsid w:val="00414A2E"/>
    <w:rsid w:val="00414A5E"/>
    <w:rsid w:val="00414B68"/>
    <w:rsid w:val="0041634C"/>
    <w:rsid w:val="0041652F"/>
    <w:rsid w:val="0041685D"/>
    <w:rsid w:val="004174D9"/>
    <w:rsid w:val="0042010F"/>
    <w:rsid w:val="004202FE"/>
    <w:rsid w:val="00420C97"/>
    <w:rsid w:val="00421870"/>
    <w:rsid w:val="0042237A"/>
    <w:rsid w:val="004224E9"/>
    <w:rsid w:val="0042338F"/>
    <w:rsid w:val="00423B4D"/>
    <w:rsid w:val="00423BE9"/>
    <w:rsid w:val="00424123"/>
    <w:rsid w:val="00424F3B"/>
    <w:rsid w:val="00425036"/>
    <w:rsid w:val="004258A8"/>
    <w:rsid w:val="00426000"/>
    <w:rsid w:val="0042608A"/>
    <w:rsid w:val="004269D6"/>
    <w:rsid w:val="00426AA3"/>
    <w:rsid w:val="00426E60"/>
    <w:rsid w:val="00426EFE"/>
    <w:rsid w:val="0043096C"/>
    <w:rsid w:val="00431D23"/>
    <w:rsid w:val="0043352B"/>
    <w:rsid w:val="00433B1E"/>
    <w:rsid w:val="004344CF"/>
    <w:rsid w:val="004345BC"/>
    <w:rsid w:val="00434690"/>
    <w:rsid w:val="00434780"/>
    <w:rsid w:val="00434904"/>
    <w:rsid w:val="004354CE"/>
    <w:rsid w:val="00436244"/>
    <w:rsid w:val="0043642D"/>
    <w:rsid w:val="00436C6C"/>
    <w:rsid w:val="00436CB4"/>
    <w:rsid w:val="00437CCA"/>
    <w:rsid w:val="00437FA0"/>
    <w:rsid w:val="0044037D"/>
    <w:rsid w:val="004421AB"/>
    <w:rsid w:val="00442397"/>
    <w:rsid w:val="00442551"/>
    <w:rsid w:val="00443D7C"/>
    <w:rsid w:val="00444292"/>
    <w:rsid w:val="0044463B"/>
    <w:rsid w:val="004447FF"/>
    <w:rsid w:val="004448BB"/>
    <w:rsid w:val="00445110"/>
    <w:rsid w:val="00445AD1"/>
    <w:rsid w:val="00445B16"/>
    <w:rsid w:val="00445D1F"/>
    <w:rsid w:val="004467C0"/>
    <w:rsid w:val="00447E47"/>
    <w:rsid w:val="00450027"/>
    <w:rsid w:val="0045036E"/>
    <w:rsid w:val="00451099"/>
    <w:rsid w:val="00451969"/>
    <w:rsid w:val="00451AC5"/>
    <w:rsid w:val="0045278E"/>
    <w:rsid w:val="004532A5"/>
    <w:rsid w:val="004532A8"/>
    <w:rsid w:val="004537E5"/>
    <w:rsid w:val="00453C56"/>
    <w:rsid w:val="004544D6"/>
    <w:rsid w:val="00454BFD"/>
    <w:rsid w:val="00454E9D"/>
    <w:rsid w:val="0045553B"/>
    <w:rsid w:val="00455921"/>
    <w:rsid w:val="00455B58"/>
    <w:rsid w:val="00455E33"/>
    <w:rsid w:val="00455EBE"/>
    <w:rsid w:val="004565D8"/>
    <w:rsid w:val="00457834"/>
    <w:rsid w:val="0046032D"/>
    <w:rsid w:val="004604B6"/>
    <w:rsid w:val="0046066B"/>
    <w:rsid w:val="00460B80"/>
    <w:rsid w:val="004613E8"/>
    <w:rsid w:val="00461E97"/>
    <w:rsid w:val="00464149"/>
    <w:rsid w:val="004644EA"/>
    <w:rsid w:val="00464A3B"/>
    <w:rsid w:val="00464E21"/>
    <w:rsid w:val="004651D5"/>
    <w:rsid w:val="004655D2"/>
    <w:rsid w:val="00465EE0"/>
    <w:rsid w:val="0046662F"/>
    <w:rsid w:val="00466D0A"/>
    <w:rsid w:val="00466FC6"/>
    <w:rsid w:val="00467115"/>
    <w:rsid w:val="00467737"/>
    <w:rsid w:val="004702A3"/>
    <w:rsid w:val="004703D6"/>
    <w:rsid w:val="00471480"/>
    <w:rsid w:val="00471C95"/>
    <w:rsid w:val="0047263A"/>
    <w:rsid w:val="004731FF"/>
    <w:rsid w:val="00473D26"/>
    <w:rsid w:val="00473FD5"/>
    <w:rsid w:val="00474BB4"/>
    <w:rsid w:val="00474D8C"/>
    <w:rsid w:val="00475C28"/>
    <w:rsid w:val="004762A6"/>
    <w:rsid w:val="00476471"/>
    <w:rsid w:val="00476F54"/>
    <w:rsid w:val="0047734C"/>
    <w:rsid w:val="0047763C"/>
    <w:rsid w:val="00480CC8"/>
    <w:rsid w:val="00480DC8"/>
    <w:rsid w:val="00480E5E"/>
    <w:rsid w:val="0048160B"/>
    <w:rsid w:val="00481B51"/>
    <w:rsid w:val="00482C3C"/>
    <w:rsid w:val="00483AFC"/>
    <w:rsid w:val="00483F86"/>
    <w:rsid w:val="0048426E"/>
    <w:rsid w:val="0048487A"/>
    <w:rsid w:val="0048504A"/>
    <w:rsid w:val="0048539B"/>
    <w:rsid w:val="004853A9"/>
    <w:rsid w:val="00485AF7"/>
    <w:rsid w:val="004864F9"/>
    <w:rsid w:val="00486AC5"/>
    <w:rsid w:val="00487AFB"/>
    <w:rsid w:val="00490837"/>
    <w:rsid w:val="00491653"/>
    <w:rsid w:val="004935ED"/>
    <w:rsid w:val="00494C2B"/>
    <w:rsid w:val="00495D44"/>
    <w:rsid w:val="00495EAE"/>
    <w:rsid w:val="00496795"/>
    <w:rsid w:val="00496AF1"/>
    <w:rsid w:val="004975CD"/>
    <w:rsid w:val="004A0FA5"/>
    <w:rsid w:val="004A1642"/>
    <w:rsid w:val="004A1991"/>
    <w:rsid w:val="004A1FAE"/>
    <w:rsid w:val="004A219D"/>
    <w:rsid w:val="004A2902"/>
    <w:rsid w:val="004A2A7C"/>
    <w:rsid w:val="004A31C7"/>
    <w:rsid w:val="004A36B7"/>
    <w:rsid w:val="004A40AE"/>
    <w:rsid w:val="004A48BB"/>
    <w:rsid w:val="004A5661"/>
    <w:rsid w:val="004A64B8"/>
    <w:rsid w:val="004A6C67"/>
    <w:rsid w:val="004A6E27"/>
    <w:rsid w:val="004A797A"/>
    <w:rsid w:val="004A7F8E"/>
    <w:rsid w:val="004B1B23"/>
    <w:rsid w:val="004B2562"/>
    <w:rsid w:val="004B29FB"/>
    <w:rsid w:val="004B2FDE"/>
    <w:rsid w:val="004B4478"/>
    <w:rsid w:val="004B47F4"/>
    <w:rsid w:val="004B4ECB"/>
    <w:rsid w:val="004B4F40"/>
    <w:rsid w:val="004B5523"/>
    <w:rsid w:val="004B5A23"/>
    <w:rsid w:val="004B5A92"/>
    <w:rsid w:val="004B5B5D"/>
    <w:rsid w:val="004B6843"/>
    <w:rsid w:val="004B692C"/>
    <w:rsid w:val="004C023F"/>
    <w:rsid w:val="004C0F70"/>
    <w:rsid w:val="004C2305"/>
    <w:rsid w:val="004C2E6A"/>
    <w:rsid w:val="004C4A5C"/>
    <w:rsid w:val="004C4D77"/>
    <w:rsid w:val="004C6039"/>
    <w:rsid w:val="004C604F"/>
    <w:rsid w:val="004C60E2"/>
    <w:rsid w:val="004C61D3"/>
    <w:rsid w:val="004C70AB"/>
    <w:rsid w:val="004C77B5"/>
    <w:rsid w:val="004D0667"/>
    <w:rsid w:val="004D0821"/>
    <w:rsid w:val="004D40CB"/>
    <w:rsid w:val="004D4CF2"/>
    <w:rsid w:val="004D4FB1"/>
    <w:rsid w:val="004D5387"/>
    <w:rsid w:val="004D5715"/>
    <w:rsid w:val="004D57D2"/>
    <w:rsid w:val="004D5C77"/>
    <w:rsid w:val="004D65D6"/>
    <w:rsid w:val="004D66E0"/>
    <w:rsid w:val="004D67C9"/>
    <w:rsid w:val="004D6E17"/>
    <w:rsid w:val="004D7017"/>
    <w:rsid w:val="004D7125"/>
    <w:rsid w:val="004D7427"/>
    <w:rsid w:val="004D7CB0"/>
    <w:rsid w:val="004E104C"/>
    <w:rsid w:val="004E10C2"/>
    <w:rsid w:val="004E2F24"/>
    <w:rsid w:val="004E4D40"/>
    <w:rsid w:val="004E51B0"/>
    <w:rsid w:val="004E5609"/>
    <w:rsid w:val="004E578C"/>
    <w:rsid w:val="004E7CB1"/>
    <w:rsid w:val="004F045B"/>
    <w:rsid w:val="004F0607"/>
    <w:rsid w:val="004F0724"/>
    <w:rsid w:val="004F12C2"/>
    <w:rsid w:val="004F2B2B"/>
    <w:rsid w:val="004F2BFB"/>
    <w:rsid w:val="004F42D9"/>
    <w:rsid w:val="004F4434"/>
    <w:rsid w:val="004F4F12"/>
    <w:rsid w:val="004F68AA"/>
    <w:rsid w:val="004F6DE6"/>
    <w:rsid w:val="0050088F"/>
    <w:rsid w:val="00500A43"/>
    <w:rsid w:val="00501C9D"/>
    <w:rsid w:val="00502665"/>
    <w:rsid w:val="00502AD3"/>
    <w:rsid w:val="005038AF"/>
    <w:rsid w:val="00504A79"/>
    <w:rsid w:val="00504B7A"/>
    <w:rsid w:val="00504E6E"/>
    <w:rsid w:val="0050695F"/>
    <w:rsid w:val="00506BA6"/>
    <w:rsid w:val="00507E6E"/>
    <w:rsid w:val="0051023B"/>
    <w:rsid w:val="00510EA7"/>
    <w:rsid w:val="00511D79"/>
    <w:rsid w:val="00512496"/>
    <w:rsid w:val="005124B7"/>
    <w:rsid w:val="00512923"/>
    <w:rsid w:val="00513010"/>
    <w:rsid w:val="00513A12"/>
    <w:rsid w:val="00513E27"/>
    <w:rsid w:val="0051452C"/>
    <w:rsid w:val="005152A4"/>
    <w:rsid w:val="0051702B"/>
    <w:rsid w:val="00517C18"/>
    <w:rsid w:val="00517FC0"/>
    <w:rsid w:val="00520065"/>
    <w:rsid w:val="00520870"/>
    <w:rsid w:val="0052093B"/>
    <w:rsid w:val="00521197"/>
    <w:rsid w:val="00523C46"/>
    <w:rsid w:val="005242E9"/>
    <w:rsid w:val="005249A0"/>
    <w:rsid w:val="0052530F"/>
    <w:rsid w:val="0052688E"/>
    <w:rsid w:val="00526E86"/>
    <w:rsid w:val="00527325"/>
    <w:rsid w:val="00527DDB"/>
    <w:rsid w:val="00530417"/>
    <w:rsid w:val="005305C4"/>
    <w:rsid w:val="0053073E"/>
    <w:rsid w:val="00530DC5"/>
    <w:rsid w:val="00531C0C"/>
    <w:rsid w:val="0053219F"/>
    <w:rsid w:val="00532DDB"/>
    <w:rsid w:val="00533107"/>
    <w:rsid w:val="00533797"/>
    <w:rsid w:val="00533D65"/>
    <w:rsid w:val="00533F6E"/>
    <w:rsid w:val="005350FE"/>
    <w:rsid w:val="0053547D"/>
    <w:rsid w:val="0053628D"/>
    <w:rsid w:val="00536C3C"/>
    <w:rsid w:val="00537828"/>
    <w:rsid w:val="00540876"/>
    <w:rsid w:val="00540C44"/>
    <w:rsid w:val="0054105D"/>
    <w:rsid w:val="005412E8"/>
    <w:rsid w:val="00542830"/>
    <w:rsid w:val="00542ED1"/>
    <w:rsid w:val="00542FCF"/>
    <w:rsid w:val="00542FDA"/>
    <w:rsid w:val="00544032"/>
    <w:rsid w:val="0054464F"/>
    <w:rsid w:val="005448FF"/>
    <w:rsid w:val="00545891"/>
    <w:rsid w:val="00545E11"/>
    <w:rsid w:val="0054611F"/>
    <w:rsid w:val="00546E97"/>
    <w:rsid w:val="005502DC"/>
    <w:rsid w:val="00551DB9"/>
    <w:rsid w:val="00552B0E"/>
    <w:rsid w:val="0055315F"/>
    <w:rsid w:val="00553F07"/>
    <w:rsid w:val="00554039"/>
    <w:rsid w:val="005540C7"/>
    <w:rsid w:val="0055472B"/>
    <w:rsid w:val="005549C0"/>
    <w:rsid w:val="00555447"/>
    <w:rsid w:val="00556AB8"/>
    <w:rsid w:val="005572FA"/>
    <w:rsid w:val="00560D19"/>
    <w:rsid w:val="00561420"/>
    <w:rsid w:val="005615CD"/>
    <w:rsid w:val="00561711"/>
    <w:rsid w:val="005619EC"/>
    <w:rsid w:val="00562677"/>
    <w:rsid w:val="00562699"/>
    <w:rsid w:val="0056281B"/>
    <w:rsid w:val="00562A2E"/>
    <w:rsid w:val="00562B7C"/>
    <w:rsid w:val="00562F7B"/>
    <w:rsid w:val="00563E8D"/>
    <w:rsid w:val="0056474E"/>
    <w:rsid w:val="00565B0D"/>
    <w:rsid w:val="00567377"/>
    <w:rsid w:val="00567AB5"/>
    <w:rsid w:val="00570F4E"/>
    <w:rsid w:val="0057216C"/>
    <w:rsid w:val="005721C1"/>
    <w:rsid w:val="00573CD8"/>
    <w:rsid w:val="00574531"/>
    <w:rsid w:val="005747EF"/>
    <w:rsid w:val="00574CD8"/>
    <w:rsid w:val="00575DB6"/>
    <w:rsid w:val="005764D8"/>
    <w:rsid w:val="005772E1"/>
    <w:rsid w:val="00580F63"/>
    <w:rsid w:val="00581550"/>
    <w:rsid w:val="00581C2F"/>
    <w:rsid w:val="0058270C"/>
    <w:rsid w:val="00583CED"/>
    <w:rsid w:val="00583D80"/>
    <w:rsid w:val="00586533"/>
    <w:rsid w:val="00587190"/>
    <w:rsid w:val="005905BF"/>
    <w:rsid w:val="0059083F"/>
    <w:rsid w:val="00591FEE"/>
    <w:rsid w:val="005923DE"/>
    <w:rsid w:val="005925E2"/>
    <w:rsid w:val="005926E9"/>
    <w:rsid w:val="00592AF3"/>
    <w:rsid w:val="00592E9A"/>
    <w:rsid w:val="005933D9"/>
    <w:rsid w:val="00594660"/>
    <w:rsid w:val="00594D80"/>
    <w:rsid w:val="00597333"/>
    <w:rsid w:val="00597447"/>
    <w:rsid w:val="00597588"/>
    <w:rsid w:val="005A0E36"/>
    <w:rsid w:val="005A0E72"/>
    <w:rsid w:val="005A2058"/>
    <w:rsid w:val="005A39FA"/>
    <w:rsid w:val="005A4174"/>
    <w:rsid w:val="005A63CC"/>
    <w:rsid w:val="005B0086"/>
    <w:rsid w:val="005B02B6"/>
    <w:rsid w:val="005B0D46"/>
    <w:rsid w:val="005B15C9"/>
    <w:rsid w:val="005B267F"/>
    <w:rsid w:val="005B2BB2"/>
    <w:rsid w:val="005B2F14"/>
    <w:rsid w:val="005B3800"/>
    <w:rsid w:val="005B397B"/>
    <w:rsid w:val="005B5D5F"/>
    <w:rsid w:val="005B60E6"/>
    <w:rsid w:val="005B6991"/>
    <w:rsid w:val="005B6A06"/>
    <w:rsid w:val="005B7CB0"/>
    <w:rsid w:val="005B7E46"/>
    <w:rsid w:val="005C10AA"/>
    <w:rsid w:val="005C15A1"/>
    <w:rsid w:val="005C15E2"/>
    <w:rsid w:val="005C1EFB"/>
    <w:rsid w:val="005C290B"/>
    <w:rsid w:val="005C3A43"/>
    <w:rsid w:val="005C49AE"/>
    <w:rsid w:val="005C5176"/>
    <w:rsid w:val="005C5FEF"/>
    <w:rsid w:val="005C7A62"/>
    <w:rsid w:val="005C7E7A"/>
    <w:rsid w:val="005C7ED2"/>
    <w:rsid w:val="005C7F7B"/>
    <w:rsid w:val="005D08DD"/>
    <w:rsid w:val="005D0B43"/>
    <w:rsid w:val="005D0C0F"/>
    <w:rsid w:val="005D12D2"/>
    <w:rsid w:val="005D173C"/>
    <w:rsid w:val="005D1B60"/>
    <w:rsid w:val="005D22B1"/>
    <w:rsid w:val="005D29A4"/>
    <w:rsid w:val="005D33F5"/>
    <w:rsid w:val="005D3F46"/>
    <w:rsid w:val="005D5AFC"/>
    <w:rsid w:val="005D6375"/>
    <w:rsid w:val="005D6F87"/>
    <w:rsid w:val="005D7BF6"/>
    <w:rsid w:val="005D7C22"/>
    <w:rsid w:val="005D7EB2"/>
    <w:rsid w:val="005E02DE"/>
    <w:rsid w:val="005E167F"/>
    <w:rsid w:val="005E1E85"/>
    <w:rsid w:val="005E30D2"/>
    <w:rsid w:val="005E32AE"/>
    <w:rsid w:val="005E388C"/>
    <w:rsid w:val="005E3A40"/>
    <w:rsid w:val="005E3C88"/>
    <w:rsid w:val="005E4452"/>
    <w:rsid w:val="005E4E43"/>
    <w:rsid w:val="005E4E58"/>
    <w:rsid w:val="005E57C6"/>
    <w:rsid w:val="005E5AE0"/>
    <w:rsid w:val="005E6F7E"/>
    <w:rsid w:val="005E7C05"/>
    <w:rsid w:val="005F1FDE"/>
    <w:rsid w:val="005F3769"/>
    <w:rsid w:val="005F5FE8"/>
    <w:rsid w:val="005F63CC"/>
    <w:rsid w:val="005F7152"/>
    <w:rsid w:val="005F7AE7"/>
    <w:rsid w:val="0060085C"/>
    <w:rsid w:val="006011DD"/>
    <w:rsid w:val="00601986"/>
    <w:rsid w:val="00601D9D"/>
    <w:rsid w:val="00602548"/>
    <w:rsid w:val="00602F1D"/>
    <w:rsid w:val="006035C8"/>
    <w:rsid w:val="00603EC4"/>
    <w:rsid w:val="00603EDF"/>
    <w:rsid w:val="0060464B"/>
    <w:rsid w:val="006047AB"/>
    <w:rsid w:val="0060482F"/>
    <w:rsid w:val="00604E93"/>
    <w:rsid w:val="00605265"/>
    <w:rsid w:val="006058D8"/>
    <w:rsid w:val="00605975"/>
    <w:rsid w:val="00605D1A"/>
    <w:rsid w:val="00606093"/>
    <w:rsid w:val="006061F4"/>
    <w:rsid w:val="00606688"/>
    <w:rsid w:val="0060675B"/>
    <w:rsid w:val="006076EF"/>
    <w:rsid w:val="00607BED"/>
    <w:rsid w:val="00607F9A"/>
    <w:rsid w:val="00610020"/>
    <w:rsid w:val="006100C3"/>
    <w:rsid w:val="0061016A"/>
    <w:rsid w:val="006107D5"/>
    <w:rsid w:val="006107F4"/>
    <w:rsid w:val="006138CB"/>
    <w:rsid w:val="0061403E"/>
    <w:rsid w:val="00614166"/>
    <w:rsid w:val="006143CF"/>
    <w:rsid w:val="0061473F"/>
    <w:rsid w:val="0061503E"/>
    <w:rsid w:val="00615636"/>
    <w:rsid w:val="00615DA0"/>
    <w:rsid w:val="00616D52"/>
    <w:rsid w:val="0061729B"/>
    <w:rsid w:val="00617730"/>
    <w:rsid w:val="006177E4"/>
    <w:rsid w:val="00617915"/>
    <w:rsid w:val="0062026B"/>
    <w:rsid w:val="00621378"/>
    <w:rsid w:val="006213D0"/>
    <w:rsid w:val="006220FF"/>
    <w:rsid w:val="006224FE"/>
    <w:rsid w:val="00622E2D"/>
    <w:rsid w:val="00622F1B"/>
    <w:rsid w:val="006232D3"/>
    <w:rsid w:val="00624731"/>
    <w:rsid w:val="00624947"/>
    <w:rsid w:val="006261DE"/>
    <w:rsid w:val="00626292"/>
    <w:rsid w:val="006262E5"/>
    <w:rsid w:val="006263EF"/>
    <w:rsid w:val="0062666A"/>
    <w:rsid w:val="00626D33"/>
    <w:rsid w:val="0063092E"/>
    <w:rsid w:val="00631319"/>
    <w:rsid w:val="00631413"/>
    <w:rsid w:val="00631F05"/>
    <w:rsid w:val="00631F3B"/>
    <w:rsid w:val="0063247B"/>
    <w:rsid w:val="006329E6"/>
    <w:rsid w:val="00632EE9"/>
    <w:rsid w:val="006356A5"/>
    <w:rsid w:val="00635757"/>
    <w:rsid w:val="00635805"/>
    <w:rsid w:val="00636265"/>
    <w:rsid w:val="0063646C"/>
    <w:rsid w:val="0063761E"/>
    <w:rsid w:val="00637C9F"/>
    <w:rsid w:val="006400DE"/>
    <w:rsid w:val="00640618"/>
    <w:rsid w:val="00642918"/>
    <w:rsid w:val="00642BD7"/>
    <w:rsid w:val="00643157"/>
    <w:rsid w:val="0064370F"/>
    <w:rsid w:val="006439CB"/>
    <w:rsid w:val="006445F7"/>
    <w:rsid w:val="00644948"/>
    <w:rsid w:val="006454E7"/>
    <w:rsid w:val="00645EE1"/>
    <w:rsid w:val="006460FD"/>
    <w:rsid w:val="00646305"/>
    <w:rsid w:val="00646BA8"/>
    <w:rsid w:val="00647D5C"/>
    <w:rsid w:val="0065031F"/>
    <w:rsid w:val="00650385"/>
    <w:rsid w:val="00651A31"/>
    <w:rsid w:val="00652BF0"/>
    <w:rsid w:val="00653669"/>
    <w:rsid w:val="0065440E"/>
    <w:rsid w:val="00654740"/>
    <w:rsid w:val="0065499D"/>
    <w:rsid w:val="0065550A"/>
    <w:rsid w:val="006560D6"/>
    <w:rsid w:val="0065785D"/>
    <w:rsid w:val="00657D4F"/>
    <w:rsid w:val="006606A2"/>
    <w:rsid w:val="006620BC"/>
    <w:rsid w:val="006626DE"/>
    <w:rsid w:val="00662A58"/>
    <w:rsid w:val="00662BC7"/>
    <w:rsid w:val="00662D55"/>
    <w:rsid w:val="0066377E"/>
    <w:rsid w:val="00664526"/>
    <w:rsid w:val="006648A0"/>
    <w:rsid w:val="00664911"/>
    <w:rsid w:val="00664C9D"/>
    <w:rsid w:val="00665201"/>
    <w:rsid w:val="006657CF"/>
    <w:rsid w:val="00665844"/>
    <w:rsid w:val="00666634"/>
    <w:rsid w:val="0066764D"/>
    <w:rsid w:val="00670033"/>
    <w:rsid w:val="00671411"/>
    <w:rsid w:val="0067211E"/>
    <w:rsid w:val="00672A95"/>
    <w:rsid w:val="00673687"/>
    <w:rsid w:val="006736F4"/>
    <w:rsid w:val="0067460F"/>
    <w:rsid w:val="00674742"/>
    <w:rsid w:val="00676043"/>
    <w:rsid w:val="00676406"/>
    <w:rsid w:val="00676537"/>
    <w:rsid w:val="00676580"/>
    <w:rsid w:val="00676BE7"/>
    <w:rsid w:val="00676FD8"/>
    <w:rsid w:val="00677664"/>
    <w:rsid w:val="00680236"/>
    <w:rsid w:val="00680605"/>
    <w:rsid w:val="00681866"/>
    <w:rsid w:val="00682450"/>
    <w:rsid w:val="00682B88"/>
    <w:rsid w:val="00682DFA"/>
    <w:rsid w:val="006842D5"/>
    <w:rsid w:val="0068507F"/>
    <w:rsid w:val="00685755"/>
    <w:rsid w:val="00685831"/>
    <w:rsid w:val="006859A9"/>
    <w:rsid w:val="00686876"/>
    <w:rsid w:val="00686D1B"/>
    <w:rsid w:val="00690AA2"/>
    <w:rsid w:val="00692BC2"/>
    <w:rsid w:val="00692F7F"/>
    <w:rsid w:val="006951E3"/>
    <w:rsid w:val="00695824"/>
    <w:rsid w:val="00695E54"/>
    <w:rsid w:val="00696ED7"/>
    <w:rsid w:val="00697041"/>
    <w:rsid w:val="006A0192"/>
    <w:rsid w:val="006A12B4"/>
    <w:rsid w:val="006A202E"/>
    <w:rsid w:val="006A29EC"/>
    <w:rsid w:val="006A394D"/>
    <w:rsid w:val="006A4107"/>
    <w:rsid w:val="006A52C7"/>
    <w:rsid w:val="006A5F7F"/>
    <w:rsid w:val="006A6E5F"/>
    <w:rsid w:val="006A7508"/>
    <w:rsid w:val="006A7702"/>
    <w:rsid w:val="006A7AF8"/>
    <w:rsid w:val="006B28B2"/>
    <w:rsid w:val="006B2F8F"/>
    <w:rsid w:val="006B37DC"/>
    <w:rsid w:val="006B41D4"/>
    <w:rsid w:val="006B42C9"/>
    <w:rsid w:val="006B4557"/>
    <w:rsid w:val="006B5B98"/>
    <w:rsid w:val="006B5D3C"/>
    <w:rsid w:val="006B6472"/>
    <w:rsid w:val="006B67D1"/>
    <w:rsid w:val="006B6D85"/>
    <w:rsid w:val="006C081B"/>
    <w:rsid w:val="006C0EAC"/>
    <w:rsid w:val="006C17F2"/>
    <w:rsid w:val="006C2B88"/>
    <w:rsid w:val="006C2C59"/>
    <w:rsid w:val="006C34EA"/>
    <w:rsid w:val="006C377C"/>
    <w:rsid w:val="006C57F6"/>
    <w:rsid w:val="006C5B6B"/>
    <w:rsid w:val="006C6036"/>
    <w:rsid w:val="006C649D"/>
    <w:rsid w:val="006C6733"/>
    <w:rsid w:val="006C6EC5"/>
    <w:rsid w:val="006C70AB"/>
    <w:rsid w:val="006C7469"/>
    <w:rsid w:val="006C79B6"/>
    <w:rsid w:val="006C7C74"/>
    <w:rsid w:val="006D0725"/>
    <w:rsid w:val="006D0E90"/>
    <w:rsid w:val="006D1903"/>
    <w:rsid w:val="006D1D99"/>
    <w:rsid w:val="006D1FAC"/>
    <w:rsid w:val="006D3D15"/>
    <w:rsid w:val="006D5558"/>
    <w:rsid w:val="006D6C33"/>
    <w:rsid w:val="006D6FE0"/>
    <w:rsid w:val="006D7347"/>
    <w:rsid w:val="006D7955"/>
    <w:rsid w:val="006E023A"/>
    <w:rsid w:val="006E04F9"/>
    <w:rsid w:val="006E2192"/>
    <w:rsid w:val="006E2BFB"/>
    <w:rsid w:val="006E4EA0"/>
    <w:rsid w:val="006E5A7C"/>
    <w:rsid w:val="006E67AF"/>
    <w:rsid w:val="006E68B5"/>
    <w:rsid w:val="006E6B11"/>
    <w:rsid w:val="006E7D8B"/>
    <w:rsid w:val="006F0750"/>
    <w:rsid w:val="006F0A3D"/>
    <w:rsid w:val="006F2336"/>
    <w:rsid w:val="006F2909"/>
    <w:rsid w:val="006F3868"/>
    <w:rsid w:val="006F3ECE"/>
    <w:rsid w:val="006F402C"/>
    <w:rsid w:val="006F419C"/>
    <w:rsid w:val="006F4E1A"/>
    <w:rsid w:val="006F4E48"/>
    <w:rsid w:val="006F5F12"/>
    <w:rsid w:val="006F610E"/>
    <w:rsid w:val="006F6612"/>
    <w:rsid w:val="006F6CE5"/>
    <w:rsid w:val="006F727D"/>
    <w:rsid w:val="006F7313"/>
    <w:rsid w:val="006F75C5"/>
    <w:rsid w:val="006F78CB"/>
    <w:rsid w:val="00700010"/>
    <w:rsid w:val="00700475"/>
    <w:rsid w:val="007008D4"/>
    <w:rsid w:val="0070099F"/>
    <w:rsid w:val="00700D3A"/>
    <w:rsid w:val="00701058"/>
    <w:rsid w:val="0070140C"/>
    <w:rsid w:val="00701FCD"/>
    <w:rsid w:val="00704F95"/>
    <w:rsid w:val="00705463"/>
    <w:rsid w:val="007055F0"/>
    <w:rsid w:val="007059D2"/>
    <w:rsid w:val="00706CF4"/>
    <w:rsid w:val="00707275"/>
    <w:rsid w:val="0070749A"/>
    <w:rsid w:val="00707891"/>
    <w:rsid w:val="00710B36"/>
    <w:rsid w:val="00712108"/>
    <w:rsid w:val="00714198"/>
    <w:rsid w:val="007146C3"/>
    <w:rsid w:val="00714B98"/>
    <w:rsid w:val="007150C9"/>
    <w:rsid w:val="007152FA"/>
    <w:rsid w:val="00716673"/>
    <w:rsid w:val="007169AB"/>
    <w:rsid w:val="00716C98"/>
    <w:rsid w:val="0071700E"/>
    <w:rsid w:val="00717FC1"/>
    <w:rsid w:val="007206E7"/>
    <w:rsid w:val="00720896"/>
    <w:rsid w:val="0072121D"/>
    <w:rsid w:val="0072160B"/>
    <w:rsid w:val="00721BFF"/>
    <w:rsid w:val="007227B2"/>
    <w:rsid w:val="00722A78"/>
    <w:rsid w:val="00723243"/>
    <w:rsid w:val="007233F3"/>
    <w:rsid w:val="00723763"/>
    <w:rsid w:val="00723BD4"/>
    <w:rsid w:val="007241A7"/>
    <w:rsid w:val="00724515"/>
    <w:rsid w:val="00724F9A"/>
    <w:rsid w:val="00726346"/>
    <w:rsid w:val="00726C74"/>
    <w:rsid w:val="00726F33"/>
    <w:rsid w:val="007274CD"/>
    <w:rsid w:val="0072762E"/>
    <w:rsid w:val="0073024C"/>
    <w:rsid w:val="007305A7"/>
    <w:rsid w:val="0073293F"/>
    <w:rsid w:val="007337F6"/>
    <w:rsid w:val="00733D6B"/>
    <w:rsid w:val="00734492"/>
    <w:rsid w:val="00734CE1"/>
    <w:rsid w:val="0073501B"/>
    <w:rsid w:val="00735FAB"/>
    <w:rsid w:val="007372FF"/>
    <w:rsid w:val="007378D4"/>
    <w:rsid w:val="00740D70"/>
    <w:rsid w:val="00740E74"/>
    <w:rsid w:val="007414D2"/>
    <w:rsid w:val="00742B25"/>
    <w:rsid w:val="00743B52"/>
    <w:rsid w:val="00745D4F"/>
    <w:rsid w:val="00745D7C"/>
    <w:rsid w:val="00746259"/>
    <w:rsid w:val="00746392"/>
    <w:rsid w:val="00746497"/>
    <w:rsid w:val="00747B55"/>
    <w:rsid w:val="00750757"/>
    <w:rsid w:val="00751A78"/>
    <w:rsid w:val="00751B28"/>
    <w:rsid w:val="00751EB8"/>
    <w:rsid w:val="00752503"/>
    <w:rsid w:val="007529F6"/>
    <w:rsid w:val="00752DB4"/>
    <w:rsid w:val="00753402"/>
    <w:rsid w:val="0075372F"/>
    <w:rsid w:val="007538DB"/>
    <w:rsid w:val="00754016"/>
    <w:rsid w:val="00754F83"/>
    <w:rsid w:val="00755073"/>
    <w:rsid w:val="00757D4D"/>
    <w:rsid w:val="0076213E"/>
    <w:rsid w:val="00762614"/>
    <w:rsid w:val="00762CAF"/>
    <w:rsid w:val="00764019"/>
    <w:rsid w:val="00764BBF"/>
    <w:rsid w:val="007657A7"/>
    <w:rsid w:val="0076644D"/>
    <w:rsid w:val="00766D2D"/>
    <w:rsid w:val="0076735D"/>
    <w:rsid w:val="00767998"/>
    <w:rsid w:val="00767BD2"/>
    <w:rsid w:val="00770240"/>
    <w:rsid w:val="00771685"/>
    <w:rsid w:val="00771D0A"/>
    <w:rsid w:val="00774055"/>
    <w:rsid w:val="00774A26"/>
    <w:rsid w:val="00774B70"/>
    <w:rsid w:val="00774DE9"/>
    <w:rsid w:val="0077543F"/>
    <w:rsid w:val="0077596E"/>
    <w:rsid w:val="00776657"/>
    <w:rsid w:val="007775E3"/>
    <w:rsid w:val="00777B51"/>
    <w:rsid w:val="00777B82"/>
    <w:rsid w:val="007805A8"/>
    <w:rsid w:val="007805F5"/>
    <w:rsid w:val="00780FD8"/>
    <w:rsid w:val="00781ACB"/>
    <w:rsid w:val="00781CA6"/>
    <w:rsid w:val="00782A02"/>
    <w:rsid w:val="00783165"/>
    <w:rsid w:val="0078327D"/>
    <w:rsid w:val="0078387E"/>
    <w:rsid w:val="00785461"/>
    <w:rsid w:val="0078726F"/>
    <w:rsid w:val="00787593"/>
    <w:rsid w:val="007878C0"/>
    <w:rsid w:val="007901FD"/>
    <w:rsid w:val="007907EB"/>
    <w:rsid w:val="007918E0"/>
    <w:rsid w:val="00791DD8"/>
    <w:rsid w:val="00792128"/>
    <w:rsid w:val="00792838"/>
    <w:rsid w:val="007935BC"/>
    <w:rsid w:val="00793B4D"/>
    <w:rsid w:val="0079434F"/>
    <w:rsid w:val="007953D0"/>
    <w:rsid w:val="00795707"/>
    <w:rsid w:val="00796314"/>
    <w:rsid w:val="00796A2E"/>
    <w:rsid w:val="00796A6B"/>
    <w:rsid w:val="00796F29"/>
    <w:rsid w:val="007A056B"/>
    <w:rsid w:val="007A0FCC"/>
    <w:rsid w:val="007A1814"/>
    <w:rsid w:val="007A2080"/>
    <w:rsid w:val="007A3B50"/>
    <w:rsid w:val="007A41E9"/>
    <w:rsid w:val="007A4D1B"/>
    <w:rsid w:val="007A4DC5"/>
    <w:rsid w:val="007A4E03"/>
    <w:rsid w:val="007A58CD"/>
    <w:rsid w:val="007A59FF"/>
    <w:rsid w:val="007A6ACD"/>
    <w:rsid w:val="007A6B39"/>
    <w:rsid w:val="007A6DA8"/>
    <w:rsid w:val="007A77BD"/>
    <w:rsid w:val="007B05E7"/>
    <w:rsid w:val="007B15FD"/>
    <w:rsid w:val="007B1AB0"/>
    <w:rsid w:val="007B233F"/>
    <w:rsid w:val="007B281C"/>
    <w:rsid w:val="007B2AC5"/>
    <w:rsid w:val="007B3604"/>
    <w:rsid w:val="007B572C"/>
    <w:rsid w:val="007B5B3A"/>
    <w:rsid w:val="007B5CD6"/>
    <w:rsid w:val="007B5E11"/>
    <w:rsid w:val="007B6973"/>
    <w:rsid w:val="007B7402"/>
    <w:rsid w:val="007B7D11"/>
    <w:rsid w:val="007B7DA2"/>
    <w:rsid w:val="007B7F9D"/>
    <w:rsid w:val="007C0282"/>
    <w:rsid w:val="007C27F5"/>
    <w:rsid w:val="007C2F61"/>
    <w:rsid w:val="007C316B"/>
    <w:rsid w:val="007C31B3"/>
    <w:rsid w:val="007C3875"/>
    <w:rsid w:val="007C3C33"/>
    <w:rsid w:val="007C4C2C"/>
    <w:rsid w:val="007C5299"/>
    <w:rsid w:val="007C6144"/>
    <w:rsid w:val="007C6162"/>
    <w:rsid w:val="007C6D22"/>
    <w:rsid w:val="007D01C3"/>
    <w:rsid w:val="007D0536"/>
    <w:rsid w:val="007D12CD"/>
    <w:rsid w:val="007D1321"/>
    <w:rsid w:val="007D1C3B"/>
    <w:rsid w:val="007D206B"/>
    <w:rsid w:val="007D336E"/>
    <w:rsid w:val="007D348E"/>
    <w:rsid w:val="007D5E28"/>
    <w:rsid w:val="007D666F"/>
    <w:rsid w:val="007D6D05"/>
    <w:rsid w:val="007D7F1B"/>
    <w:rsid w:val="007E0EA9"/>
    <w:rsid w:val="007E1C5C"/>
    <w:rsid w:val="007E230A"/>
    <w:rsid w:val="007E34AA"/>
    <w:rsid w:val="007E4278"/>
    <w:rsid w:val="007E5027"/>
    <w:rsid w:val="007E5C45"/>
    <w:rsid w:val="007E6164"/>
    <w:rsid w:val="007E700B"/>
    <w:rsid w:val="007E7330"/>
    <w:rsid w:val="007E75DD"/>
    <w:rsid w:val="007F005D"/>
    <w:rsid w:val="007F0763"/>
    <w:rsid w:val="007F0D5E"/>
    <w:rsid w:val="007F11C9"/>
    <w:rsid w:val="007F14CB"/>
    <w:rsid w:val="007F1F19"/>
    <w:rsid w:val="007F2E57"/>
    <w:rsid w:val="007F3564"/>
    <w:rsid w:val="007F40F1"/>
    <w:rsid w:val="007F41CC"/>
    <w:rsid w:val="007F43B6"/>
    <w:rsid w:val="007F4AF0"/>
    <w:rsid w:val="007F528E"/>
    <w:rsid w:val="007F6016"/>
    <w:rsid w:val="007F6F74"/>
    <w:rsid w:val="007F773C"/>
    <w:rsid w:val="007F79FC"/>
    <w:rsid w:val="007F7BC2"/>
    <w:rsid w:val="0080055C"/>
    <w:rsid w:val="0080069C"/>
    <w:rsid w:val="00801360"/>
    <w:rsid w:val="00801AA7"/>
    <w:rsid w:val="00801B86"/>
    <w:rsid w:val="00802417"/>
    <w:rsid w:val="0080243B"/>
    <w:rsid w:val="008028AD"/>
    <w:rsid w:val="008043EA"/>
    <w:rsid w:val="008050E7"/>
    <w:rsid w:val="008054B2"/>
    <w:rsid w:val="00806069"/>
    <w:rsid w:val="00807637"/>
    <w:rsid w:val="00807C84"/>
    <w:rsid w:val="008106F2"/>
    <w:rsid w:val="00811009"/>
    <w:rsid w:val="00811275"/>
    <w:rsid w:val="008122A5"/>
    <w:rsid w:val="00813F39"/>
    <w:rsid w:val="008141F3"/>
    <w:rsid w:val="008145B4"/>
    <w:rsid w:val="00815181"/>
    <w:rsid w:val="0081520C"/>
    <w:rsid w:val="0081604E"/>
    <w:rsid w:val="00817541"/>
    <w:rsid w:val="008200DB"/>
    <w:rsid w:val="00820E3D"/>
    <w:rsid w:val="008217F7"/>
    <w:rsid w:val="008221F5"/>
    <w:rsid w:val="00823AE9"/>
    <w:rsid w:val="00823CD9"/>
    <w:rsid w:val="00824129"/>
    <w:rsid w:val="00824321"/>
    <w:rsid w:val="00824973"/>
    <w:rsid w:val="00825680"/>
    <w:rsid w:val="00825932"/>
    <w:rsid w:val="00825BAF"/>
    <w:rsid w:val="008267D6"/>
    <w:rsid w:val="0082708C"/>
    <w:rsid w:val="008270F4"/>
    <w:rsid w:val="00827413"/>
    <w:rsid w:val="008306AD"/>
    <w:rsid w:val="00830C17"/>
    <w:rsid w:val="0083166F"/>
    <w:rsid w:val="00832A4A"/>
    <w:rsid w:val="00832ECC"/>
    <w:rsid w:val="00832F6A"/>
    <w:rsid w:val="00833D45"/>
    <w:rsid w:val="00834EBD"/>
    <w:rsid w:val="00835070"/>
    <w:rsid w:val="00835B53"/>
    <w:rsid w:val="008361E4"/>
    <w:rsid w:val="00836324"/>
    <w:rsid w:val="00836CB4"/>
    <w:rsid w:val="00836FF3"/>
    <w:rsid w:val="00837609"/>
    <w:rsid w:val="008376FF"/>
    <w:rsid w:val="00840E21"/>
    <w:rsid w:val="00841D51"/>
    <w:rsid w:val="00842B8C"/>
    <w:rsid w:val="00842FB2"/>
    <w:rsid w:val="008436B5"/>
    <w:rsid w:val="008441A9"/>
    <w:rsid w:val="00844DD5"/>
    <w:rsid w:val="00846017"/>
    <w:rsid w:val="00846780"/>
    <w:rsid w:val="008469E3"/>
    <w:rsid w:val="00846AE4"/>
    <w:rsid w:val="00847A4C"/>
    <w:rsid w:val="00847AFA"/>
    <w:rsid w:val="008505E1"/>
    <w:rsid w:val="00850EB7"/>
    <w:rsid w:val="00851992"/>
    <w:rsid w:val="00851FB9"/>
    <w:rsid w:val="00852CBF"/>
    <w:rsid w:val="00855910"/>
    <w:rsid w:val="00855C93"/>
    <w:rsid w:val="00856819"/>
    <w:rsid w:val="00856E43"/>
    <w:rsid w:val="008571EB"/>
    <w:rsid w:val="0085776D"/>
    <w:rsid w:val="00860B47"/>
    <w:rsid w:val="00860B66"/>
    <w:rsid w:val="00860F5C"/>
    <w:rsid w:val="00862451"/>
    <w:rsid w:val="00862C99"/>
    <w:rsid w:val="0086341F"/>
    <w:rsid w:val="0086435C"/>
    <w:rsid w:val="00864B7B"/>
    <w:rsid w:val="00866580"/>
    <w:rsid w:val="0086671D"/>
    <w:rsid w:val="0086721C"/>
    <w:rsid w:val="0087027E"/>
    <w:rsid w:val="00870B5A"/>
    <w:rsid w:val="00873E0A"/>
    <w:rsid w:val="008741C5"/>
    <w:rsid w:val="008744FB"/>
    <w:rsid w:val="0087619D"/>
    <w:rsid w:val="00876A26"/>
    <w:rsid w:val="00876CF1"/>
    <w:rsid w:val="00877EF9"/>
    <w:rsid w:val="00880284"/>
    <w:rsid w:val="0088275D"/>
    <w:rsid w:val="00882E59"/>
    <w:rsid w:val="0088345B"/>
    <w:rsid w:val="00883754"/>
    <w:rsid w:val="00883A90"/>
    <w:rsid w:val="008842A7"/>
    <w:rsid w:val="0088636C"/>
    <w:rsid w:val="00886E6A"/>
    <w:rsid w:val="00887229"/>
    <w:rsid w:val="00887D2A"/>
    <w:rsid w:val="008906C6"/>
    <w:rsid w:val="00890AEF"/>
    <w:rsid w:val="00890BC6"/>
    <w:rsid w:val="00890D8A"/>
    <w:rsid w:val="008922AD"/>
    <w:rsid w:val="008923CC"/>
    <w:rsid w:val="00893039"/>
    <w:rsid w:val="0089405E"/>
    <w:rsid w:val="00894807"/>
    <w:rsid w:val="0089491A"/>
    <w:rsid w:val="00896EB1"/>
    <w:rsid w:val="00897225"/>
    <w:rsid w:val="008A096A"/>
    <w:rsid w:val="008A098F"/>
    <w:rsid w:val="008A14D4"/>
    <w:rsid w:val="008A2130"/>
    <w:rsid w:val="008A269B"/>
    <w:rsid w:val="008A27DA"/>
    <w:rsid w:val="008A3501"/>
    <w:rsid w:val="008A5289"/>
    <w:rsid w:val="008A670E"/>
    <w:rsid w:val="008A6A77"/>
    <w:rsid w:val="008A7019"/>
    <w:rsid w:val="008A7023"/>
    <w:rsid w:val="008B0799"/>
    <w:rsid w:val="008B0808"/>
    <w:rsid w:val="008B1783"/>
    <w:rsid w:val="008B1A23"/>
    <w:rsid w:val="008B1BA2"/>
    <w:rsid w:val="008B2CD8"/>
    <w:rsid w:val="008B304B"/>
    <w:rsid w:val="008B32DC"/>
    <w:rsid w:val="008B339E"/>
    <w:rsid w:val="008B34BB"/>
    <w:rsid w:val="008B41FA"/>
    <w:rsid w:val="008B489C"/>
    <w:rsid w:val="008B4993"/>
    <w:rsid w:val="008B4D48"/>
    <w:rsid w:val="008B5307"/>
    <w:rsid w:val="008B5EED"/>
    <w:rsid w:val="008B646D"/>
    <w:rsid w:val="008B688F"/>
    <w:rsid w:val="008B7272"/>
    <w:rsid w:val="008B7659"/>
    <w:rsid w:val="008C0A78"/>
    <w:rsid w:val="008C11E7"/>
    <w:rsid w:val="008C12D7"/>
    <w:rsid w:val="008C26BA"/>
    <w:rsid w:val="008C2922"/>
    <w:rsid w:val="008C31C1"/>
    <w:rsid w:val="008C3805"/>
    <w:rsid w:val="008C38C3"/>
    <w:rsid w:val="008C3C0A"/>
    <w:rsid w:val="008C450F"/>
    <w:rsid w:val="008C60E7"/>
    <w:rsid w:val="008C6A63"/>
    <w:rsid w:val="008C6B1C"/>
    <w:rsid w:val="008D0CE1"/>
    <w:rsid w:val="008D1F86"/>
    <w:rsid w:val="008D2376"/>
    <w:rsid w:val="008D2C04"/>
    <w:rsid w:val="008D372D"/>
    <w:rsid w:val="008D3943"/>
    <w:rsid w:val="008D4297"/>
    <w:rsid w:val="008D5A4B"/>
    <w:rsid w:val="008D63E2"/>
    <w:rsid w:val="008D6631"/>
    <w:rsid w:val="008E0AFE"/>
    <w:rsid w:val="008E1303"/>
    <w:rsid w:val="008E1ABD"/>
    <w:rsid w:val="008E223E"/>
    <w:rsid w:val="008E2D7B"/>
    <w:rsid w:val="008E4991"/>
    <w:rsid w:val="008E5014"/>
    <w:rsid w:val="008E504B"/>
    <w:rsid w:val="008E5D0D"/>
    <w:rsid w:val="008E6438"/>
    <w:rsid w:val="008E67A4"/>
    <w:rsid w:val="008E7220"/>
    <w:rsid w:val="008F0422"/>
    <w:rsid w:val="008F097D"/>
    <w:rsid w:val="008F11E3"/>
    <w:rsid w:val="008F15A2"/>
    <w:rsid w:val="008F1BCA"/>
    <w:rsid w:val="008F2197"/>
    <w:rsid w:val="008F2944"/>
    <w:rsid w:val="008F2E7C"/>
    <w:rsid w:val="008F3B0A"/>
    <w:rsid w:val="008F3B78"/>
    <w:rsid w:val="008F3E16"/>
    <w:rsid w:val="008F446E"/>
    <w:rsid w:val="008F447F"/>
    <w:rsid w:val="008F4767"/>
    <w:rsid w:val="008F51AE"/>
    <w:rsid w:val="008F58BE"/>
    <w:rsid w:val="008F5A91"/>
    <w:rsid w:val="008F64D4"/>
    <w:rsid w:val="008F73AA"/>
    <w:rsid w:val="008F74EE"/>
    <w:rsid w:val="008F774F"/>
    <w:rsid w:val="00900540"/>
    <w:rsid w:val="009005A6"/>
    <w:rsid w:val="00900799"/>
    <w:rsid w:val="009009DE"/>
    <w:rsid w:val="009009F2"/>
    <w:rsid w:val="00900A99"/>
    <w:rsid w:val="00900E8C"/>
    <w:rsid w:val="009021C2"/>
    <w:rsid w:val="00903D7B"/>
    <w:rsid w:val="00903E23"/>
    <w:rsid w:val="009049B8"/>
    <w:rsid w:val="00906F37"/>
    <w:rsid w:val="009071B5"/>
    <w:rsid w:val="00907531"/>
    <w:rsid w:val="00910785"/>
    <w:rsid w:val="00910E7A"/>
    <w:rsid w:val="00911CB2"/>
    <w:rsid w:val="009138C2"/>
    <w:rsid w:val="00913CE0"/>
    <w:rsid w:val="00914101"/>
    <w:rsid w:val="009146FA"/>
    <w:rsid w:val="00915B0C"/>
    <w:rsid w:val="00916302"/>
    <w:rsid w:val="00917262"/>
    <w:rsid w:val="00917970"/>
    <w:rsid w:val="00917D25"/>
    <w:rsid w:val="009209A4"/>
    <w:rsid w:val="00921392"/>
    <w:rsid w:val="009233E2"/>
    <w:rsid w:val="00923628"/>
    <w:rsid w:val="00923B91"/>
    <w:rsid w:val="00925400"/>
    <w:rsid w:val="00925AE9"/>
    <w:rsid w:val="00925FFB"/>
    <w:rsid w:val="00926563"/>
    <w:rsid w:val="00926B5D"/>
    <w:rsid w:val="00926C22"/>
    <w:rsid w:val="00927003"/>
    <w:rsid w:val="00927683"/>
    <w:rsid w:val="009276CA"/>
    <w:rsid w:val="009305DF"/>
    <w:rsid w:val="00930A66"/>
    <w:rsid w:val="009312ED"/>
    <w:rsid w:val="0093160C"/>
    <w:rsid w:val="009321C4"/>
    <w:rsid w:val="009323CA"/>
    <w:rsid w:val="00932A63"/>
    <w:rsid w:val="00932BAB"/>
    <w:rsid w:val="00932D97"/>
    <w:rsid w:val="009341E1"/>
    <w:rsid w:val="009342B8"/>
    <w:rsid w:val="00934532"/>
    <w:rsid w:val="00934E0F"/>
    <w:rsid w:val="00934F6D"/>
    <w:rsid w:val="00934FFE"/>
    <w:rsid w:val="0093537B"/>
    <w:rsid w:val="00935B3D"/>
    <w:rsid w:val="0093601C"/>
    <w:rsid w:val="00936B2B"/>
    <w:rsid w:val="009372DC"/>
    <w:rsid w:val="009377AC"/>
    <w:rsid w:val="00941ACE"/>
    <w:rsid w:val="00941B27"/>
    <w:rsid w:val="00941B6E"/>
    <w:rsid w:val="00941BD1"/>
    <w:rsid w:val="00942AE1"/>
    <w:rsid w:val="009435AE"/>
    <w:rsid w:val="00943A27"/>
    <w:rsid w:val="0094655A"/>
    <w:rsid w:val="009470D5"/>
    <w:rsid w:val="00952127"/>
    <w:rsid w:val="00952751"/>
    <w:rsid w:val="00952938"/>
    <w:rsid w:val="00952E7D"/>
    <w:rsid w:val="009532FF"/>
    <w:rsid w:val="009540DC"/>
    <w:rsid w:val="009541D0"/>
    <w:rsid w:val="009544B5"/>
    <w:rsid w:val="0095510D"/>
    <w:rsid w:val="00955164"/>
    <w:rsid w:val="00955CF8"/>
    <w:rsid w:val="00955D10"/>
    <w:rsid w:val="00956485"/>
    <w:rsid w:val="00956B4C"/>
    <w:rsid w:val="00956EA0"/>
    <w:rsid w:val="00956FBB"/>
    <w:rsid w:val="00960F8B"/>
    <w:rsid w:val="009610DD"/>
    <w:rsid w:val="0096170B"/>
    <w:rsid w:val="00961BF1"/>
    <w:rsid w:val="00962451"/>
    <w:rsid w:val="00962A09"/>
    <w:rsid w:val="00962C4F"/>
    <w:rsid w:val="0096317A"/>
    <w:rsid w:val="00963511"/>
    <w:rsid w:val="009646A4"/>
    <w:rsid w:val="009648AB"/>
    <w:rsid w:val="00964BEB"/>
    <w:rsid w:val="0096550B"/>
    <w:rsid w:val="009655A8"/>
    <w:rsid w:val="00965669"/>
    <w:rsid w:val="00966024"/>
    <w:rsid w:val="0096698F"/>
    <w:rsid w:val="00966FF5"/>
    <w:rsid w:val="009674A9"/>
    <w:rsid w:val="009679AD"/>
    <w:rsid w:val="00967E40"/>
    <w:rsid w:val="00967FCA"/>
    <w:rsid w:val="00970581"/>
    <w:rsid w:val="00971A51"/>
    <w:rsid w:val="009722F4"/>
    <w:rsid w:val="00972300"/>
    <w:rsid w:val="00972C9A"/>
    <w:rsid w:val="00972D0B"/>
    <w:rsid w:val="00974806"/>
    <w:rsid w:val="00977346"/>
    <w:rsid w:val="0097752F"/>
    <w:rsid w:val="009775D7"/>
    <w:rsid w:val="00980869"/>
    <w:rsid w:val="009808E9"/>
    <w:rsid w:val="00981326"/>
    <w:rsid w:val="009815BA"/>
    <w:rsid w:val="009819A9"/>
    <w:rsid w:val="00982082"/>
    <w:rsid w:val="00983341"/>
    <w:rsid w:val="009837AF"/>
    <w:rsid w:val="00983A76"/>
    <w:rsid w:val="00984070"/>
    <w:rsid w:val="00984846"/>
    <w:rsid w:val="00986011"/>
    <w:rsid w:val="00986B1C"/>
    <w:rsid w:val="00987610"/>
    <w:rsid w:val="00991623"/>
    <w:rsid w:val="0099192D"/>
    <w:rsid w:val="00993C88"/>
    <w:rsid w:val="00994273"/>
    <w:rsid w:val="00994D87"/>
    <w:rsid w:val="00996B78"/>
    <w:rsid w:val="0099731C"/>
    <w:rsid w:val="00997FA8"/>
    <w:rsid w:val="009A04A1"/>
    <w:rsid w:val="009A132C"/>
    <w:rsid w:val="009A1525"/>
    <w:rsid w:val="009A1822"/>
    <w:rsid w:val="009A1A43"/>
    <w:rsid w:val="009A1A78"/>
    <w:rsid w:val="009A2100"/>
    <w:rsid w:val="009A2101"/>
    <w:rsid w:val="009A2740"/>
    <w:rsid w:val="009A2A84"/>
    <w:rsid w:val="009A2AD4"/>
    <w:rsid w:val="009A2C16"/>
    <w:rsid w:val="009A2C57"/>
    <w:rsid w:val="009A3768"/>
    <w:rsid w:val="009A3FB9"/>
    <w:rsid w:val="009A4985"/>
    <w:rsid w:val="009A657E"/>
    <w:rsid w:val="009A6A79"/>
    <w:rsid w:val="009A7093"/>
    <w:rsid w:val="009A7937"/>
    <w:rsid w:val="009A7A17"/>
    <w:rsid w:val="009A7B22"/>
    <w:rsid w:val="009A7C7A"/>
    <w:rsid w:val="009A7F7B"/>
    <w:rsid w:val="009B0ECE"/>
    <w:rsid w:val="009B11F4"/>
    <w:rsid w:val="009B135A"/>
    <w:rsid w:val="009B2D93"/>
    <w:rsid w:val="009B30EA"/>
    <w:rsid w:val="009B350A"/>
    <w:rsid w:val="009B3C45"/>
    <w:rsid w:val="009B3D85"/>
    <w:rsid w:val="009B43DB"/>
    <w:rsid w:val="009B4DB1"/>
    <w:rsid w:val="009B4FA6"/>
    <w:rsid w:val="009B58D9"/>
    <w:rsid w:val="009B5EC1"/>
    <w:rsid w:val="009B7DDF"/>
    <w:rsid w:val="009C04F2"/>
    <w:rsid w:val="009C1C52"/>
    <w:rsid w:val="009C20B9"/>
    <w:rsid w:val="009C2921"/>
    <w:rsid w:val="009C301D"/>
    <w:rsid w:val="009C3338"/>
    <w:rsid w:val="009C39B2"/>
    <w:rsid w:val="009C4606"/>
    <w:rsid w:val="009C4849"/>
    <w:rsid w:val="009C5D9A"/>
    <w:rsid w:val="009D0751"/>
    <w:rsid w:val="009D0A6B"/>
    <w:rsid w:val="009D0BBE"/>
    <w:rsid w:val="009D0CBD"/>
    <w:rsid w:val="009D11CA"/>
    <w:rsid w:val="009D19F8"/>
    <w:rsid w:val="009D1F5C"/>
    <w:rsid w:val="009D2287"/>
    <w:rsid w:val="009D27F8"/>
    <w:rsid w:val="009D3792"/>
    <w:rsid w:val="009D525D"/>
    <w:rsid w:val="009D562B"/>
    <w:rsid w:val="009E1421"/>
    <w:rsid w:val="009E189C"/>
    <w:rsid w:val="009E1A66"/>
    <w:rsid w:val="009E1B1E"/>
    <w:rsid w:val="009E2EBF"/>
    <w:rsid w:val="009E2F8E"/>
    <w:rsid w:val="009E49F6"/>
    <w:rsid w:val="009E504B"/>
    <w:rsid w:val="009E5CF8"/>
    <w:rsid w:val="009E6256"/>
    <w:rsid w:val="009E6B27"/>
    <w:rsid w:val="009E6EA1"/>
    <w:rsid w:val="009E7669"/>
    <w:rsid w:val="009E7721"/>
    <w:rsid w:val="009E7792"/>
    <w:rsid w:val="009E7AF6"/>
    <w:rsid w:val="009E7F79"/>
    <w:rsid w:val="009F05A4"/>
    <w:rsid w:val="009F0924"/>
    <w:rsid w:val="009F0FEA"/>
    <w:rsid w:val="009F1C93"/>
    <w:rsid w:val="009F27EA"/>
    <w:rsid w:val="009F2C83"/>
    <w:rsid w:val="009F33B0"/>
    <w:rsid w:val="009F3738"/>
    <w:rsid w:val="009F4E70"/>
    <w:rsid w:val="009F6CD2"/>
    <w:rsid w:val="00A01AA3"/>
    <w:rsid w:val="00A01B34"/>
    <w:rsid w:val="00A02123"/>
    <w:rsid w:val="00A02E02"/>
    <w:rsid w:val="00A0305D"/>
    <w:rsid w:val="00A03114"/>
    <w:rsid w:val="00A033FD"/>
    <w:rsid w:val="00A03405"/>
    <w:rsid w:val="00A03668"/>
    <w:rsid w:val="00A03BF1"/>
    <w:rsid w:val="00A046F0"/>
    <w:rsid w:val="00A04DB6"/>
    <w:rsid w:val="00A054EE"/>
    <w:rsid w:val="00A05CF0"/>
    <w:rsid w:val="00A06204"/>
    <w:rsid w:val="00A066DF"/>
    <w:rsid w:val="00A0714D"/>
    <w:rsid w:val="00A07334"/>
    <w:rsid w:val="00A079F8"/>
    <w:rsid w:val="00A07C26"/>
    <w:rsid w:val="00A10FBA"/>
    <w:rsid w:val="00A11073"/>
    <w:rsid w:val="00A11122"/>
    <w:rsid w:val="00A11510"/>
    <w:rsid w:val="00A11924"/>
    <w:rsid w:val="00A12196"/>
    <w:rsid w:val="00A12AC6"/>
    <w:rsid w:val="00A147C2"/>
    <w:rsid w:val="00A1492E"/>
    <w:rsid w:val="00A14CE9"/>
    <w:rsid w:val="00A162E4"/>
    <w:rsid w:val="00A174B7"/>
    <w:rsid w:val="00A17C88"/>
    <w:rsid w:val="00A20FF2"/>
    <w:rsid w:val="00A210D6"/>
    <w:rsid w:val="00A21EEA"/>
    <w:rsid w:val="00A23392"/>
    <w:rsid w:val="00A2405A"/>
    <w:rsid w:val="00A2408B"/>
    <w:rsid w:val="00A241CB"/>
    <w:rsid w:val="00A26E05"/>
    <w:rsid w:val="00A2776D"/>
    <w:rsid w:val="00A27DB5"/>
    <w:rsid w:val="00A27F98"/>
    <w:rsid w:val="00A30D78"/>
    <w:rsid w:val="00A33486"/>
    <w:rsid w:val="00A33F19"/>
    <w:rsid w:val="00A34080"/>
    <w:rsid w:val="00A34A38"/>
    <w:rsid w:val="00A35424"/>
    <w:rsid w:val="00A35596"/>
    <w:rsid w:val="00A3603C"/>
    <w:rsid w:val="00A36206"/>
    <w:rsid w:val="00A36AA8"/>
    <w:rsid w:val="00A37891"/>
    <w:rsid w:val="00A400DF"/>
    <w:rsid w:val="00A401AC"/>
    <w:rsid w:val="00A40951"/>
    <w:rsid w:val="00A40A70"/>
    <w:rsid w:val="00A41148"/>
    <w:rsid w:val="00A41AB1"/>
    <w:rsid w:val="00A42F9C"/>
    <w:rsid w:val="00A43492"/>
    <w:rsid w:val="00A43A65"/>
    <w:rsid w:val="00A45096"/>
    <w:rsid w:val="00A452FA"/>
    <w:rsid w:val="00A45CC1"/>
    <w:rsid w:val="00A461B2"/>
    <w:rsid w:val="00A476D0"/>
    <w:rsid w:val="00A5043C"/>
    <w:rsid w:val="00A512F5"/>
    <w:rsid w:val="00A51B6C"/>
    <w:rsid w:val="00A5223F"/>
    <w:rsid w:val="00A52AF8"/>
    <w:rsid w:val="00A52C4E"/>
    <w:rsid w:val="00A53231"/>
    <w:rsid w:val="00A53588"/>
    <w:rsid w:val="00A5359E"/>
    <w:rsid w:val="00A55E37"/>
    <w:rsid w:val="00A55E6F"/>
    <w:rsid w:val="00A56664"/>
    <w:rsid w:val="00A57F64"/>
    <w:rsid w:val="00A609AA"/>
    <w:rsid w:val="00A6114C"/>
    <w:rsid w:val="00A6123A"/>
    <w:rsid w:val="00A61E91"/>
    <w:rsid w:val="00A63204"/>
    <w:rsid w:val="00A63357"/>
    <w:rsid w:val="00A643A9"/>
    <w:rsid w:val="00A64732"/>
    <w:rsid w:val="00A64BBF"/>
    <w:rsid w:val="00A64BD3"/>
    <w:rsid w:val="00A64DD3"/>
    <w:rsid w:val="00A65295"/>
    <w:rsid w:val="00A6598D"/>
    <w:rsid w:val="00A65A16"/>
    <w:rsid w:val="00A665A7"/>
    <w:rsid w:val="00A67669"/>
    <w:rsid w:val="00A70721"/>
    <w:rsid w:val="00A707BD"/>
    <w:rsid w:val="00A71351"/>
    <w:rsid w:val="00A737AB"/>
    <w:rsid w:val="00A7752B"/>
    <w:rsid w:val="00A8038F"/>
    <w:rsid w:val="00A82EED"/>
    <w:rsid w:val="00A83B11"/>
    <w:rsid w:val="00A841E3"/>
    <w:rsid w:val="00A8575D"/>
    <w:rsid w:val="00A85EA2"/>
    <w:rsid w:val="00A8696A"/>
    <w:rsid w:val="00A870D7"/>
    <w:rsid w:val="00A870F9"/>
    <w:rsid w:val="00A87195"/>
    <w:rsid w:val="00A87C2B"/>
    <w:rsid w:val="00A87D40"/>
    <w:rsid w:val="00A87FE5"/>
    <w:rsid w:val="00A90382"/>
    <w:rsid w:val="00A90484"/>
    <w:rsid w:val="00A90AF3"/>
    <w:rsid w:val="00A91775"/>
    <w:rsid w:val="00A92653"/>
    <w:rsid w:val="00A926FB"/>
    <w:rsid w:val="00A92811"/>
    <w:rsid w:val="00A92C9F"/>
    <w:rsid w:val="00A92DD4"/>
    <w:rsid w:val="00A94EBB"/>
    <w:rsid w:val="00A94FB3"/>
    <w:rsid w:val="00A95977"/>
    <w:rsid w:val="00A96E27"/>
    <w:rsid w:val="00A96F08"/>
    <w:rsid w:val="00AA09F5"/>
    <w:rsid w:val="00AA10D7"/>
    <w:rsid w:val="00AA14B2"/>
    <w:rsid w:val="00AA1E7B"/>
    <w:rsid w:val="00AA3503"/>
    <w:rsid w:val="00AA35BF"/>
    <w:rsid w:val="00AA40FC"/>
    <w:rsid w:val="00AA5346"/>
    <w:rsid w:val="00AA54C3"/>
    <w:rsid w:val="00AA5D04"/>
    <w:rsid w:val="00AA609C"/>
    <w:rsid w:val="00AA6176"/>
    <w:rsid w:val="00AA6620"/>
    <w:rsid w:val="00AA7DC9"/>
    <w:rsid w:val="00AA7ECE"/>
    <w:rsid w:val="00AB0F60"/>
    <w:rsid w:val="00AB1113"/>
    <w:rsid w:val="00AB1F04"/>
    <w:rsid w:val="00AB2588"/>
    <w:rsid w:val="00AB2860"/>
    <w:rsid w:val="00AB2979"/>
    <w:rsid w:val="00AB3561"/>
    <w:rsid w:val="00AB52EF"/>
    <w:rsid w:val="00AB56AB"/>
    <w:rsid w:val="00AB5B78"/>
    <w:rsid w:val="00AB7252"/>
    <w:rsid w:val="00AB7D98"/>
    <w:rsid w:val="00AC01D7"/>
    <w:rsid w:val="00AC0325"/>
    <w:rsid w:val="00AC08D0"/>
    <w:rsid w:val="00AC0DC7"/>
    <w:rsid w:val="00AC119F"/>
    <w:rsid w:val="00AC14A1"/>
    <w:rsid w:val="00AC28E2"/>
    <w:rsid w:val="00AC2EB8"/>
    <w:rsid w:val="00AC416D"/>
    <w:rsid w:val="00AC4262"/>
    <w:rsid w:val="00AC4C7B"/>
    <w:rsid w:val="00AC5851"/>
    <w:rsid w:val="00AC5CD7"/>
    <w:rsid w:val="00AC6074"/>
    <w:rsid w:val="00AC6F21"/>
    <w:rsid w:val="00AC7FDF"/>
    <w:rsid w:val="00AC7FED"/>
    <w:rsid w:val="00AD23D0"/>
    <w:rsid w:val="00AD28DC"/>
    <w:rsid w:val="00AD2DD9"/>
    <w:rsid w:val="00AD3021"/>
    <w:rsid w:val="00AD5C01"/>
    <w:rsid w:val="00AD5E7B"/>
    <w:rsid w:val="00AD696C"/>
    <w:rsid w:val="00AD77CF"/>
    <w:rsid w:val="00AD7FEE"/>
    <w:rsid w:val="00AE0B54"/>
    <w:rsid w:val="00AE1560"/>
    <w:rsid w:val="00AE21A5"/>
    <w:rsid w:val="00AE29BC"/>
    <w:rsid w:val="00AE393B"/>
    <w:rsid w:val="00AE4F82"/>
    <w:rsid w:val="00AE545E"/>
    <w:rsid w:val="00AE55A1"/>
    <w:rsid w:val="00AE637D"/>
    <w:rsid w:val="00AE674E"/>
    <w:rsid w:val="00AE7CEE"/>
    <w:rsid w:val="00AE7F50"/>
    <w:rsid w:val="00AF00DD"/>
    <w:rsid w:val="00AF020C"/>
    <w:rsid w:val="00AF0411"/>
    <w:rsid w:val="00AF1C28"/>
    <w:rsid w:val="00AF1E32"/>
    <w:rsid w:val="00AF27AA"/>
    <w:rsid w:val="00AF2805"/>
    <w:rsid w:val="00AF34DC"/>
    <w:rsid w:val="00AF3570"/>
    <w:rsid w:val="00AF5F8E"/>
    <w:rsid w:val="00B0198F"/>
    <w:rsid w:val="00B02351"/>
    <w:rsid w:val="00B02429"/>
    <w:rsid w:val="00B03494"/>
    <w:rsid w:val="00B04C20"/>
    <w:rsid w:val="00B0633A"/>
    <w:rsid w:val="00B07BD5"/>
    <w:rsid w:val="00B1102C"/>
    <w:rsid w:val="00B1108C"/>
    <w:rsid w:val="00B11155"/>
    <w:rsid w:val="00B113FD"/>
    <w:rsid w:val="00B120C9"/>
    <w:rsid w:val="00B122EC"/>
    <w:rsid w:val="00B12CCA"/>
    <w:rsid w:val="00B12E25"/>
    <w:rsid w:val="00B13C5A"/>
    <w:rsid w:val="00B14934"/>
    <w:rsid w:val="00B14C73"/>
    <w:rsid w:val="00B15BCD"/>
    <w:rsid w:val="00B1684D"/>
    <w:rsid w:val="00B16D10"/>
    <w:rsid w:val="00B17147"/>
    <w:rsid w:val="00B177C5"/>
    <w:rsid w:val="00B20765"/>
    <w:rsid w:val="00B20986"/>
    <w:rsid w:val="00B20D86"/>
    <w:rsid w:val="00B2116B"/>
    <w:rsid w:val="00B213D0"/>
    <w:rsid w:val="00B21577"/>
    <w:rsid w:val="00B22191"/>
    <w:rsid w:val="00B221E2"/>
    <w:rsid w:val="00B22475"/>
    <w:rsid w:val="00B22A59"/>
    <w:rsid w:val="00B22B59"/>
    <w:rsid w:val="00B22D59"/>
    <w:rsid w:val="00B22E19"/>
    <w:rsid w:val="00B2315E"/>
    <w:rsid w:val="00B24DB3"/>
    <w:rsid w:val="00B24F70"/>
    <w:rsid w:val="00B25EAE"/>
    <w:rsid w:val="00B26206"/>
    <w:rsid w:val="00B276FD"/>
    <w:rsid w:val="00B30073"/>
    <w:rsid w:val="00B3047C"/>
    <w:rsid w:val="00B3063E"/>
    <w:rsid w:val="00B30ADB"/>
    <w:rsid w:val="00B3127A"/>
    <w:rsid w:val="00B31C13"/>
    <w:rsid w:val="00B320FA"/>
    <w:rsid w:val="00B33D25"/>
    <w:rsid w:val="00B34102"/>
    <w:rsid w:val="00B409C6"/>
    <w:rsid w:val="00B4110F"/>
    <w:rsid w:val="00B4131F"/>
    <w:rsid w:val="00B42E00"/>
    <w:rsid w:val="00B43BB2"/>
    <w:rsid w:val="00B4522F"/>
    <w:rsid w:val="00B4524A"/>
    <w:rsid w:val="00B465F0"/>
    <w:rsid w:val="00B50D69"/>
    <w:rsid w:val="00B50F73"/>
    <w:rsid w:val="00B52ACB"/>
    <w:rsid w:val="00B52E41"/>
    <w:rsid w:val="00B53365"/>
    <w:rsid w:val="00B53B76"/>
    <w:rsid w:val="00B53C58"/>
    <w:rsid w:val="00B549BD"/>
    <w:rsid w:val="00B54C83"/>
    <w:rsid w:val="00B5551E"/>
    <w:rsid w:val="00B55E4E"/>
    <w:rsid w:val="00B56CBB"/>
    <w:rsid w:val="00B576E8"/>
    <w:rsid w:val="00B578CC"/>
    <w:rsid w:val="00B602F2"/>
    <w:rsid w:val="00B61359"/>
    <w:rsid w:val="00B61A48"/>
    <w:rsid w:val="00B61AD5"/>
    <w:rsid w:val="00B63A95"/>
    <w:rsid w:val="00B63AD9"/>
    <w:rsid w:val="00B63C11"/>
    <w:rsid w:val="00B64D7F"/>
    <w:rsid w:val="00B65E05"/>
    <w:rsid w:val="00B66152"/>
    <w:rsid w:val="00B669C7"/>
    <w:rsid w:val="00B710AC"/>
    <w:rsid w:val="00B72675"/>
    <w:rsid w:val="00B727E8"/>
    <w:rsid w:val="00B72D41"/>
    <w:rsid w:val="00B72DB2"/>
    <w:rsid w:val="00B735BB"/>
    <w:rsid w:val="00B73B62"/>
    <w:rsid w:val="00B73BAC"/>
    <w:rsid w:val="00B74156"/>
    <w:rsid w:val="00B74394"/>
    <w:rsid w:val="00B747CF"/>
    <w:rsid w:val="00B74F15"/>
    <w:rsid w:val="00B752DB"/>
    <w:rsid w:val="00B755A5"/>
    <w:rsid w:val="00B7667E"/>
    <w:rsid w:val="00B76750"/>
    <w:rsid w:val="00B76BF6"/>
    <w:rsid w:val="00B76DD1"/>
    <w:rsid w:val="00B77487"/>
    <w:rsid w:val="00B80769"/>
    <w:rsid w:val="00B80C5A"/>
    <w:rsid w:val="00B81261"/>
    <w:rsid w:val="00B812F0"/>
    <w:rsid w:val="00B8133D"/>
    <w:rsid w:val="00B81FE3"/>
    <w:rsid w:val="00B82538"/>
    <w:rsid w:val="00B8293B"/>
    <w:rsid w:val="00B82B5E"/>
    <w:rsid w:val="00B835FB"/>
    <w:rsid w:val="00B86EA4"/>
    <w:rsid w:val="00B873A5"/>
    <w:rsid w:val="00B87646"/>
    <w:rsid w:val="00B87FD0"/>
    <w:rsid w:val="00B90B19"/>
    <w:rsid w:val="00B92157"/>
    <w:rsid w:val="00B927A6"/>
    <w:rsid w:val="00B927DA"/>
    <w:rsid w:val="00B92CBD"/>
    <w:rsid w:val="00B935C5"/>
    <w:rsid w:val="00B935D2"/>
    <w:rsid w:val="00B936BF"/>
    <w:rsid w:val="00B93AAD"/>
    <w:rsid w:val="00B93BA1"/>
    <w:rsid w:val="00B93FD6"/>
    <w:rsid w:val="00B94235"/>
    <w:rsid w:val="00B956EA"/>
    <w:rsid w:val="00B957EA"/>
    <w:rsid w:val="00B96ECC"/>
    <w:rsid w:val="00B971CE"/>
    <w:rsid w:val="00BA0D6E"/>
    <w:rsid w:val="00BA112F"/>
    <w:rsid w:val="00BA1500"/>
    <w:rsid w:val="00BA1C09"/>
    <w:rsid w:val="00BA1CFF"/>
    <w:rsid w:val="00BA35E2"/>
    <w:rsid w:val="00BA387F"/>
    <w:rsid w:val="00BA5127"/>
    <w:rsid w:val="00BA5959"/>
    <w:rsid w:val="00BA5A54"/>
    <w:rsid w:val="00BA61A2"/>
    <w:rsid w:val="00BA695D"/>
    <w:rsid w:val="00BA6D17"/>
    <w:rsid w:val="00BB0803"/>
    <w:rsid w:val="00BB08A7"/>
    <w:rsid w:val="00BB1961"/>
    <w:rsid w:val="00BB218E"/>
    <w:rsid w:val="00BB3C43"/>
    <w:rsid w:val="00BB3CAF"/>
    <w:rsid w:val="00BB4DA9"/>
    <w:rsid w:val="00BB4E18"/>
    <w:rsid w:val="00BB4E94"/>
    <w:rsid w:val="00BB7BD1"/>
    <w:rsid w:val="00BB7C62"/>
    <w:rsid w:val="00BC0164"/>
    <w:rsid w:val="00BC0343"/>
    <w:rsid w:val="00BC05C1"/>
    <w:rsid w:val="00BC137A"/>
    <w:rsid w:val="00BC1A68"/>
    <w:rsid w:val="00BC1C97"/>
    <w:rsid w:val="00BC2A3D"/>
    <w:rsid w:val="00BC34AF"/>
    <w:rsid w:val="00BC3FDF"/>
    <w:rsid w:val="00BC439E"/>
    <w:rsid w:val="00BC4413"/>
    <w:rsid w:val="00BC45E5"/>
    <w:rsid w:val="00BC4F3B"/>
    <w:rsid w:val="00BC5BB8"/>
    <w:rsid w:val="00BC5FAA"/>
    <w:rsid w:val="00BC643D"/>
    <w:rsid w:val="00BC6468"/>
    <w:rsid w:val="00BC67FA"/>
    <w:rsid w:val="00BC6B85"/>
    <w:rsid w:val="00BC6C48"/>
    <w:rsid w:val="00BC7D4C"/>
    <w:rsid w:val="00BD136F"/>
    <w:rsid w:val="00BD16ED"/>
    <w:rsid w:val="00BD25E3"/>
    <w:rsid w:val="00BD46D0"/>
    <w:rsid w:val="00BD489B"/>
    <w:rsid w:val="00BD4C14"/>
    <w:rsid w:val="00BD4C72"/>
    <w:rsid w:val="00BD4F71"/>
    <w:rsid w:val="00BD50E5"/>
    <w:rsid w:val="00BD5CF9"/>
    <w:rsid w:val="00BD5F94"/>
    <w:rsid w:val="00BD687B"/>
    <w:rsid w:val="00BD73A1"/>
    <w:rsid w:val="00BD7E63"/>
    <w:rsid w:val="00BE0698"/>
    <w:rsid w:val="00BE0DB6"/>
    <w:rsid w:val="00BE125D"/>
    <w:rsid w:val="00BE1B71"/>
    <w:rsid w:val="00BE1D5B"/>
    <w:rsid w:val="00BE2C6D"/>
    <w:rsid w:val="00BE355A"/>
    <w:rsid w:val="00BE3801"/>
    <w:rsid w:val="00BE4870"/>
    <w:rsid w:val="00BE53FE"/>
    <w:rsid w:val="00BE5BD0"/>
    <w:rsid w:val="00BE690C"/>
    <w:rsid w:val="00BE6E3E"/>
    <w:rsid w:val="00BE7AFE"/>
    <w:rsid w:val="00BF01BC"/>
    <w:rsid w:val="00BF0393"/>
    <w:rsid w:val="00BF03FF"/>
    <w:rsid w:val="00BF0677"/>
    <w:rsid w:val="00BF2C42"/>
    <w:rsid w:val="00BF2D56"/>
    <w:rsid w:val="00BF3E83"/>
    <w:rsid w:val="00BF40C9"/>
    <w:rsid w:val="00BF42BB"/>
    <w:rsid w:val="00BF4617"/>
    <w:rsid w:val="00BF4777"/>
    <w:rsid w:val="00BF5CEF"/>
    <w:rsid w:val="00BF5DE4"/>
    <w:rsid w:val="00BF60BF"/>
    <w:rsid w:val="00BF6767"/>
    <w:rsid w:val="00BF6BE5"/>
    <w:rsid w:val="00BF71B1"/>
    <w:rsid w:val="00BF7412"/>
    <w:rsid w:val="00BF75A1"/>
    <w:rsid w:val="00C0069B"/>
    <w:rsid w:val="00C009DE"/>
    <w:rsid w:val="00C01973"/>
    <w:rsid w:val="00C02DB8"/>
    <w:rsid w:val="00C03430"/>
    <w:rsid w:val="00C03509"/>
    <w:rsid w:val="00C03605"/>
    <w:rsid w:val="00C03612"/>
    <w:rsid w:val="00C03905"/>
    <w:rsid w:val="00C040D2"/>
    <w:rsid w:val="00C04983"/>
    <w:rsid w:val="00C058EA"/>
    <w:rsid w:val="00C069EA"/>
    <w:rsid w:val="00C06C80"/>
    <w:rsid w:val="00C07E10"/>
    <w:rsid w:val="00C101BA"/>
    <w:rsid w:val="00C11003"/>
    <w:rsid w:val="00C11D33"/>
    <w:rsid w:val="00C128D1"/>
    <w:rsid w:val="00C14208"/>
    <w:rsid w:val="00C14A69"/>
    <w:rsid w:val="00C15A93"/>
    <w:rsid w:val="00C16262"/>
    <w:rsid w:val="00C17601"/>
    <w:rsid w:val="00C17CFB"/>
    <w:rsid w:val="00C208DA"/>
    <w:rsid w:val="00C21267"/>
    <w:rsid w:val="00C21899"/>
    <w:rsid w:val="00C225A6"/>
    <w:rsid w:val="00C2392B"/>
    <w:rsid w:val="00C241BF"/>
    <w:rsid w:val="00C24426"/>
    <w:rsid w:val="00C24430"/>
    <w:rsid w:val="00C24E4F"/>
    <w:rsid w:val="00C263DB"/>
    <w:rsid w:val="00C2697F"/>
    <w:rsid w:val="00C26ABB"/>
    <w:rsid w:val="00C278EB"/>
    <w:rsid w:val="00C30774"/>
    <w:rsid w:val="00C30B3E"/>
    <w:rsid w:val="00C31FF0"/>
    <w:rsid w:val="00C32686"/>
    <w:rsid w:val="00C32708"/>
    <w:rsid w:val="00C33540"/>
    <w:rsid w:val="00C34138"/>
    <w:rsid w:val="00C347D8"/>
    <w:rsid w:val="00C349A5"/>
    <w:rsid w:val="00C3557D"/>
    <w:rsid w:val="00C36809"/>
    <w:rsid w:val="00C370D4"/>
    <w:rsid w:val="00C40F2F"/>
    <w:rsid w:val="00C41800"/>
    <w:rsid w:val="00C430CE"/>
    <w:rsid w:val="00C431C0"/>
    <w:rsid w:val="00C445DF"/>
    <w:rsid w:val="00C44E66"/>
    <w:rsid w:val="00C44EEF"/>
    <w:rsid w:val="00C452C8"/>
    <w:rsid w:val="00C45367"/>
    <w:rsid w:val="00C45A03"/>
    <w:rsid w:val="00C45BB3"/>
    <w:rsid w:val="00C462A3"/>
    <w:rsid w:val="00C46AFF"/>
    <w:rsid w:val="00C46D4D"/>
    <w:rsid w:val="00C4773A"/>
    <w:rsid w:val="00C47D43"/>
    <w:rsid w:val="00C5049E"/>
    <w:rsid w:val="00C507EF"/>
    <w:rsid w:val="00C50AFB"/>
    <w:rsid w:val="00C517EC"/>
    <w:rsid w:val="00C520E9"/>
    <w:rsid w:val="00C53B7A"/>
    <w:rsid w:val="00C54460"/>
    <w:rsid w:val="00C550AA"/>
    <w:rsid w:val="00C558BC"/>
    <w:rsid w:val="00C55FF9"/>
    <w:rsid w:val="00C56124"/>
    <w:rsid w:val="00C57210"/>
    <w:rsid w:val="00C57BAE"/>
    <w:rsid w:val="00C60A6E"/>
    <w:rsid w:val="00C61D60"/>
    <w:rsid w:val="00C62188"/>
    <w:rsid w:val="00C62D4A"/>
    <w:rsid w:val="00C62FCC"/>
    <w:rsid w:val="00C63D1C"/>
    <w:rsid w:val="00C64E05"/>
    <w:rsid w:val="00C6505C"/>
    <w:rsid w:val="00C6515A"/>
    <w:rsid w:val="00C652B8"/>
    <w:rsid w:val="00C65870"/>
    <w:rsid w:val="00C663C4"/>
    <w:rsid w:val="00C664F8"/>
    <w:rsid w:val="00C66CEA"/>
    <w:rsid w:val="00C66DA3"/>
    <w:rsid w:val="00C6794A"/>
    <w:rsid w:val="00C67EE6"/>
    <w:rsid w:val="00C67FA5"/>
    <w:rsid w:val="00C717FA"/>
    <w:rsid w:val="00C71E2B"/>
    <w:rsid w:val="00C72268"/>
    <w:rsid w:val="00C72C1C"/>
    <w:rsid w:val="00C72ED9"/>
    <w:rsid w:val="00C731B7"/>
    <w:rsid w:val="00C7352C"/>
    <w:rsid w:val="00C74AC7"/>
    <w:rsid w:val="00C76C36"/>
    <w:rsid w:val="00C773A6"/>
    <w:rsid w:val="00C777F8"/>
    <w:rsid w:val="00C803DF"/>
    <w:rsid w:val="00C80EE3"/>
    <w:rsid w:val="00C81DA8"/>
    <w:rsid w:val="00C81E18"/>
    <w:rsid w:val="00C82908"/>
    <w:rsid w:val="00C8448B"/>
    <w:rsid w:val="00C84898"/>
    <w:rsid w:val="00C84E6F"/>
    <w:rsid w:val="00C862C9"/>
    <w:rsid w:val="00C86A8F"/>
    <w:rsid w:val="00C86E93"/>
    <w:rsid w:val="00C87838"/>
    <w:rsid w:val="00C87DA9"/>
    <w:rsid w:val="00C90328"/>
    <w:rsid w:val="00C90C31"/>
    <w:rsid w:val="00C924DC"/>
    <w:rsid w:val="00C93C32"/>
    <w:rsid w:val="00C94647"/>
    <w:rsid w:val="00C94B85"/>
    <w:rsid w:val="00C9548C"/>
    <w:rsid w:val="00C957CE"/>
    <w:rsid w:val="00C95911"/>
    <w:rsid w:val="00C95A92"/>
    <w:rsid w:val="00C9664D"/>
    <w:rsid w:val="00C96A08"/>
    <w:rsid w:val="00C970BB"/>
    <w:rsid w:val="00C97344"/>
    <w:rsid w:val="00CA051D"/>
    <w:rsid w:val="00CA0726"/>
    <w:rsid w:val="00CA1751"/>
    <w:rsid w:val="00CA1D7F"/>
    <w:rsid w:val="00CA1E72"/>
    <w:rsid w:val="00CA2F36"/>
    <w:rsid w:val="00CA38A6"/>
    <w:rsid w:val="00CA42C0"/>
    <w:rsid w:val="00CA5A83"/>
    <w:rsid w:val="00CA60B8"/>
    <w:rsid w:val="00CA61CD"/>
    <w:rsid w:val="00CA6ECC"/>
    <w:rsid w:val="00CB103E"/>
    <w:rsid w:val="00CB12B4"/>
    <w:rsid w:val="00CB13A2"/>
    <w:rsid w:val="00CB16ED"/>
    <w:rsid w:val="00CB1989"/>
    <w:rsid w:val="00CB1F29"/>
    <w:rsid w:val="00CB2929"/>
    <w:rsid w:val="00CB2D2E"/>
    <w:rsid w:val="00CB2F56"/>
    <w:rsid w:val="00CB32B8"/>
    <w:rsid w:val="00CB4D71"/>
    <w:rsid w:val="00CB4F29"/>
    <w:rsid w:val="00CB5337"/>
    <w:rsid w:val="00CB5907"/>
    <w:rsid w:val="00CB59BD"/>
    <w:rsid w:val="00CB5EDA"/>
    <w:rsid w:val="00CB62C5"/>
    <w:rsid w:val="00CB67D9"/>
    <w:rsid w:val="00CC1A9A"/>
    <w:rsid w:val="00CC2037"/>
    <w:rsid w:val="00CC20D4"/>
    <w:rsid w:val="00CC2856"/>
    <w:rsid w:val="00CC3298"/>
    <w:rsid w:val="00CC3361"/>
    <w:rsid w:val="00CC3FE1"/>
    <w:rsid w:val="00CC48E1"/>
    <w:rsid w:val="00CC48EC"/>
    <w:rsid w:val="00CC49FF"/>
    <w:rsid w:val="00CC4A27"/>
    <w:rsid w:val="00CC67EB"/>
    <w:rsid w:val="00CC6D99"/>
    <w:rsid w:val="00CC6F4E"/>
    <w:rsid w:val="00CC7076"/>
    <w:rsid w:val="00CC7F3E"/>
    <w:rsid w:val="00CC7FB9"/>
    <w:rsid w:val="00CD1BBE"/>
    <w:rsid w:val="00CD255E"/>
    <w:rsid w:val="00CD27FE"/>
    <w:rsid w:val="00CD40B2"/>
    <w:rsid w:val="00CD5809"/>
    <w:rsid w:val="00CD5A00"/>
    <w:rsid w:val="00CD5A9B"/>
    <w:rsid w:val="00CD6015"/>
    <w:rsid w:val="00CD701E"/>
    <w:rsid w:val="00CD70A3"/>
    <w:rsid w:val="00CD785D"/>
    <w:rsid w:val="00CE00AB"/>
    <w:rsid w:val="00CE0582"/>
    <w:rsid w:val="00CE07CE"/>
    <w:rsid w:val="00CE0DE6"/>
    <w:rsid w:val="00CE27BB"/>
    <w:rsid w:val="00CE323C"/>
    <w:rsid w:val="00CE3760"/>
    <w:rsid w:val="00CE3EF2"/>
    <w:rsid w:val="00CE474D"/>
    <w:rsid w:val="00CE4B3C"/>
    <w:rsid w:val="00CE526C"/>
    <w:rsid w:val="00CE5AED"/>
    <w:rsid w:val="00CE62F1"/>
    <w:rsid w:val="00CE6849"/>
    <w:rsid w:val="00CE687F"/>
    <w:rsid w:val="00CE6B3D"/>
    <w:rsid w:val="00CE6CA0"/>
    <w:rsid w:val="00CE7AB1"/>
    <w:rsid w:val="00CF0D31"/>
    <w:rsid w:val="00CF1766"/>
    <w:rsid w:val="00CF18D9"/>
    <w:rsid w:val="00CF1B0A"/>
    <w:rsid w:val="00CF2080"/>
    <w:rsid w:val="00CF319E"/>
    <w:rsid w:val="00CF322C"/>
    <w:rsid w:val="00CF34B2"/>
    <w:rsid w:val="00CF3709"/>
    <w:rsid w:val="00CF3FEF"/>
    <w:rsid w:val="00CF4FAF"/>
    <w:rsid w:val="00CF5755"/>
    <w:rsid w:val="00CF58A0"/>
    <w:rsid w:val="00CF6EE2"/>
    <w:rsid w:val="00CF7195"/>
    <w:rsid w:val="00CF7BFB"/>
    <w:rsid w:val="00CF7C98"/>
    <w:rsid w:val="00D000B9"/>
    <w:rsid w:val="00D004CE"/>
    <w:rsid w:val="00D004F8"/>
    <w:rsid w:val="00D00533"/>
    <w:rsid w:val="00D00E49"/>
    <w:rsid w:val="00D0118F"/>
    <w:rsid w:val="00D02CBC"/>
    <w:rsid w:val="00D03125"/>
    <w:rsid w:val="00D045DB"/>
    <w:rsid w:val="00D04A55"/>
    <w:rsid w:val="00D06050"/>
    <w:rsid w:val="00D06994"/>
    <w:rsid w:val="00D06B08"/>
    <w:rsid w:val="00D074D1"/>
    <w:rsid w:val="00D0770A"/>
    <w:rsid w:val="00D079F1"/>
    <w:rsid w:val="00D10E6D"/>
    <w:rsid w:val="00D11645"/>
    <w:rsid w:val="00D12048"/>
    <w:rsid w:val="00D1253A"/>
    <w:rsid w:val="00D12A53"/>
    <w:rsid w:val="00D12FA5"/>
    <w:rsid w:val="00D13537"/>
    <w:rsid w:val="00D14784"/>
    <w:rsid w:val="00D14AFE"/>
    <w:rsid w:val="00D14B92"/>
    <w:rsid w:val="00D151BE"/>
    <w:rsid w:val="00D15636"/>
    <w:rsid w:val="00D165DE"/>
    <w:rsid w:val="00D20339"/>
    <w:rsid w:val="00D203BE"/>
    <w:rsid w:val="00D21147"/>
    <w:rsid w:val="00D226B2"/>
    <w:rsid w:val="00D23BBC"/>
    <w:rsid w:val="00D246F7"/>
    <w:rsid w:val="00D25209"/>
    <w:rsid w:val="00D259E3"/>
    <w:rsid w:val="00D259EF"/>
    <w:rsid w:val="00D2718D"/>
    <w:rsid w:val="00D27370"/>
    <w:rsid w:val="00D27870"/>
    <w:rsid w:val="00D27C44"/>
    <w:rsid w:val="00D30106"/>
    <w:rsid w:val="00D310EE"/>
    <w:rsid w:val="00D31292"/>
    <w:rsid w:val="00D3220D"/>
    <w:rsid w:val="00D32709"/>
    <w:rsid w:val="00D32804"/>
    <w:rsid w:val="00D33E08"/>
    <w:rsid w:val="00D33E1E"/>
    <w:rsid w:val="00D3411A"/>
    <w:rsid w:val="00D34556"/>
    <w:rsid w:val="00D35178"/>
    <w:rsid w:val="00D36D12"/>
    <w:rsid w:val="00D37FEC"/>
    <w:rsid w:val="00D406E4"/>
    <w:rsid w:val="00D4182F"/>
    <w:rsid w:val="00D420CE"/>
    <w:rsid w:val="00D4339C"/>
    <w:rsid w:val="00D44473"/>
    <w:rsid w:val="00D444A7"/>
    <w:rsid w:val="00D44C52"/>
    <w:rsid w:val="00D44F0D"/>
    <w:rsid w:val="00D45444"/>
    <w:rsid w:val="00D45977"/>
    <w:rsid w:val="00D4645E"/>
    <w:rsid w:val="00D46544"/>
    <w:rsid w:val="00D466F8"/>
    <w:rsid w:val="00D479CB"/>
    <w:rsid w:val="00D5038F"/>
    <w:rsid w:val="00D50619"/>
    <w:rsid w:val="00D52280"/>
    <w:rsid w:val="00D5272B"/>
    <w:rsid w:val="00D52D80"/>
    <w:rsid w:val="00D53096"/>
    <w:rsid w:val="00D53391"/>
    <w:rsid w:val="00D5442D"/>
    <w:rsid w:val="00D54505"/>
    <w:rsid w:val="00D54B4A"/>
    <w:rsid w:val="00D553A9"/>
    <w:rsid w:val="00D55A91"/>
    <w:rsid w:val="00D56858"/>
    <w:rsid w:val="00D57C7F"/>
    <w:rsid w:val="00D60603"/>
    <w:rsid w:val="00D6096E"/>
    <w:rsid w:val="00D61DCE"/>
    <w:rsid w:val="00D62A7B"/>
    <w:rsid w:val="00D62CF3"/>
    <w:rsid w:val="00D63135"/>
    <w:rsid w:val="00D64CF5"/>
    <w:rsid w:val="00D65B47"/>
    <w:rsid w:val="00D65C09"/>
    <w:rsid w:val="00D65D1E"/>
    <w:rsid w:val="00D661F9"/>
    <w:rsid w:val="00D66CF9"/>
    <w:rsid w:val="00D67657"/>
    <w:rsid w:val="00D70092"/>
    <w:rsid w:val="00D701E5"/>
    <w:rsid w:val="00D70D32"/>
    <w:rsid w:val="00D71272"/>
    <w:rsid w:val="00D7190C"/>
    <w:rsid w:val="00D7205C"/>
    <w:rsid w:val="00D72E9A"/>
    <w:rsid w:val="00D738F7"/>
    <w:rsid w:val="00D740BC"/>
    <w:rsid w:val="00D75383"/>
    <w:rsid w:val="00D75E1F"/>
    <w:rsid w:val="00D75FA4"/>
    <w:rsid w:val="00D76D1B"/>
    <w:rsid w:val="00D76F22"/>
    <w:rsid w:val="00D7742D"/>
    <w:rsid w:val="00D77643"/>
    <w:rsid w:val="00D77FDB"/>
    <w:rsid w:val="00D81097"/>
    <w:rsid w:val="00D83C1D"/>
    <w:rsid w:val="00D871E5"/>
    <w:rsid w:val="00D87349"/>
    <w:rsid w:val="00D87392"/>
    <w:rsid w:val="00D91900"/>
    <w:rsid w:val="00D91A6F"/>
    <w:rsid w:val="00D92EC3"/>
    <w:rsid w:val="00D93287"/>
    <w:rsid w:val="00D93473"/>
    <w:rsid w:val="00D93887"/>
    <w:rsid w:val="00D938B3"/>
    <w:rsid w:val="00D93AB5"/>
    <w:rsid w:val="00D93C0D"/>
    <w:rsid w:val="00D93D3C"/>
    <w:rsid w:val="00D93ED9"/>
    <w:rsid w:val="00D94793"/>
    <w:rsid w:val="00D948A1"/>
    <w:rsid w:val="00D94B7F"/>
    <w:rsid w:val="00D94EF7"/>
    <w:rsid w:val="00D95079"/>
    <w:rsid w:val="00D954DA"/>
    <w:rsid w:val="00D95894"/>
    <w:rsid w:val="00D965DC"/>
    <w:rsid w:val="00D97021"/>
    <w:rsid w:val="00D97919"/>
    <w:rsid w:val="00DA04A2"/>
    <w:rsid w:val="00DA1B4F"/>
    <w:rsid w:val="00DA1DF8"/>
    <w:rsid w:val="00DA20A6"/>
    <w:rsid w:val="00DA2521"/>
    <w:rsid w:val="00DA25A7"/>
    <w:rsid w:val="00DA28AD"/>
    <w:rsid w:val="00DA29B0"/>
    <w:rsid w:val="00DA4ECA"/>
    <w:rsid w:val="00DA5185"/>
    <w:rsid w:val="00DA5300"/>
    <w:rsid w:val="00DA5575"/>
    <w:rsid w:val="00DA590C"/>
    <w:rsid w:val="00DA5B82"/>
    <w:rsid w:val="00DA608F"/>
    <w:rsid w:val="00DA625C"/>
    <w:rsid w:val="00DA6371"/>
    <w:rsid w:val="00DA6CA9"/>
    <w:rsid w:val="00DB0277"/>
    <w:rsid w:val="00DB03B1"/>
    <w:rsid w:val="00DB0687"/>
    <w:rsid w:val="00DB26F3"/>
    <w:rsid w:val="00DB3590"/>
    <w:rsid w:val="00DB36FC"/>
    <w:rsid w:val="00DB37B3"/>
    <w:rsid w:val="00DB400E"/>
    <w:rsid w:val="00DB49F5"/>
    <w:rsid w:val="00DB58B0"/>
    <w:rsid w:val="00DB59B7"/>
    <w:rsid w:val="00DB63C1"/>
    <w:rsid w:val="00DB6858"/>
    <w:rsid w:val="00DB712D"/>
    <w:rsid w:val="00DB7BD6"/>
    <w:rsid w:val="00DB7CA4"/>
    <w:rsid w:val="00DB7FB1"/>
    <w:rsid w:val="00DC0428"/>
    <w:rsid w:val="00DC371C"/>
    <w:rsid w:val="00DC3775"/>
    <w:rsid w:val="00DC381B"/>
    <w:rsid w:val="00DC3A8F"/>
    <w:rsid w:val="00DC5674"/>
    <w:rsid w:val="00DC5967"/>
    <w:rsid w:val="00DC700A"/>
    <w:rsid w:val="00DC71C2"/>
    <w:rsid w:val="00DC7384"/>
    <w:rsid w:val="00DC744B"/>
    <w:rsid w:val="00DC766B"/>
    <w:rsid w:val="00DD011E"/>
    <w:rsid w:val="00DD0E70"/>
    <w:rsid w:val="00DD1543"/>
    <w:rsid w:val="00DD16D3"/>
    <w:rsid w:val="00DD1F96"/>
    <w:rsid w:val="00DD22DE"/>
    <w:rsid w:val="00DD24F9"/>
    <w:rsid w:val="00DD25A7"/>
    <w:rsid w:val="00DD2D26"/>
    <w:rsid w:val="00DD4A6B"/>
    <w:rsid w:val="00DD4F71"/>
    <w:rsid w:val="00DD5201"/>
    <w:rsid w:val="00DD527F"/>
    <w:rsid w:val="00DD6C95"/>
    <w:rsid w:val="00DE1CAD"/>
    <w:rsid w:val="00DE22CC"/>
    <w:rsid w:val="00DE33F8"/>
    <w:rsid w:val="00DE36A6"/>
    <w:rsid w:val="00DE4461"/>
    <w:rsid w:val="00DE4A24"/>
    <w:rsid w:val="00DE5255"/>
    <w:rsid w:val="00DE52A3"/>
    <w:rsid w:val="00DE5973"/>
    <w:rsid w:val="00DE69D5"/>
    <w:rsid w:val="00DE7220"/>
    <w:rsid w:val="00DE7745"/>
    <w:rsid w:val="00DE7C0B"/>
    <w:rsid w:val="00DE7E19"/>
    <w:rsid w:val="00DF0500"/>
    <w:rsid w:val="00DF2104"/>
    <w:rsid w:val="00DF364A"/>
    <w:rsid w:val="00DF5447"/>
    <w:rsid w:val="00DF5C99"/>
    <w:rsid w:val="00DF65A8"/>
    <w:rsid w:val="00DF6D7F"/>
    <w:rsid w:val="00DF7953"/>
    <w:rsid w:val="00E0000F"/>
    <w:rsid w:val="00E00306"/>
    <w:rsid w:val="00E00B5B"/>
    <w:rsid w:val="00E00DC8"/>
    <w:rsid w:val="00E00E08"/>
    <w:rsid w:val="00E01045"/>
    <w:rsid w:val="00E031D0"/>
    <w:rsid w:val="00E0359E"/>
    <w:rsid w:val="00E03CD3"/>
    <w:rsid w:val="00E0422D"/>
    <w:rsid w:val="00E0560E"/>
    <w:rsid w:val="00E06F44"/>
    <w:rsid w:val="00E073FB"/>
    <w:rsid w:val="00E07D54"/>
    <w:rsid w:val="00E10973"/>
    <w:rsid w:val="00E1144D"/>
    <w:rsid w:val="00E116E4"/>
    <w:rsid w:val="00E121FF"/>
    <w:rsid w:val="00E12B42"/>
    <w:rsid w:val="00E13521"/>
    <w:rsid w:val="00E13960"/>
    <w:rsid w:val="00E13C6A"/>
    <w:rsid w:val="00E14287"/>
    <w:rsid w:val="00E15BF9"/>
    <w:rsid w:val="00E1608E"/>
    <w:rsid w:val="00E16E26"/>
    <w:rsid w:val="00E17C2C"/>
    <w:rsid w:val="00E202A2"/>
    <w:rsid w:val="00E2218E"/>
    <w:rsid w:val="00E22C64"/>
    <w:rsid w:val="00E236AF"/>
    <w:rsid w:val="00E23AF8"/>
    <w:rsid w:val="00E2485D"/>
    <w:rsid w:val="00E24DCB"/>
    <w:rsid w:val="00E2593B"/>
    <w:rsid w:val="00E271DF"/>
    <w:rsid w:val="00E302FD"/>
    <w:rsid w:val="00E303D4"/>
    <w:rsid w:val="00E30C6F"/>
    <w:rsid w:val="00E30E25"/>
    <w:rsid w:val="00E31787"/>
    <w:rsid w:val="00E319F3"/>
    <w:rsid w:val="00E32419"/>
    <w:rsid w:val="00E33433"/>
    <w:rsid w:val="00E35807"/>
    <w:rsid w:val="00E36229"/>
    <w:rsid w:val="00E369BD"/>
    <w:rsid w:val="00E36C22"/>
    <w:rsid w:val="00E3702A"/>
    <w:rsid w:val="00E37239"/>
    <w:rsid w:val="00E375B3"/>
    <w:rsid w:val="00E40228"/>
    <w:rsid w:val="00E42717"/>
    <w:rsid w:val="00E429CF"/>
    <w:rsid w:val="00E42AD3"/>
    <w:rsid w:val="00E42FA3"/>
    <w:rsid w:val="00E4482A"/>
    <w:rsid w:val="00E44C0E"/>
    <w:rsid w:val="00E45B58"/>
    <w:rsid w:val="00E45C0B"/>
    <w:rsid w:val="00E4692C"/>
    <w:rsid w:val="00E469D2"/>
    <w:rsid w:val="00E4735B"/>
    <w:rsid w:val="00E50E5A"/>
    <w:rsid w:val="00E51444"/>
    <w:rsid w:val="00E52DE0"/>
    <w:rsid w:val="00E53621"/>
    <w:rsid w:val="00E5364A"/>
    <w:rsid w:val="00E53A35"/>
    <w:rsid w:val="00E53E3F"/>
    <w:rsid w:val="00E54147"/>
    <w:rsid w:val="00E54770"/>
    <w:rsid w:val="00E5482C"/>
    <w:rsid w:val="00E560F3"/>
    <w:rsid w:val="00E56662"/>
    <w:rsid w:val="00E57479"/>
    <w:rsid w:val="00E602C9"/>
    <w:rsid w:val="00E60A66"/>
    <w:rsid w:val="00E61934"/>
    <w:rsid w:val="00E6215E"/>
    <w:rsid w:val="00E63288"/>
    <w:rsid w:val="00E63808"/>
    <w:rsid w:val="00E63E67"/>
    <w:rsid w:val="00E64066"/>
    <w:rsid w:val="00E6419B"/>
    <w:rsid w:val="00E646B5"/>
    <w:rsid w:val="00E64D8A"/>
    <w:rsid w:val="00E658F8"/>
    <w:rsid w:val="00E66622"/>
    <w:rsid w:val="00E66A1B"/>
    <w:rsid w:val="00E702AC"/>
    <w:rsid w:val="00E70560"/>
    <w:rsid w:val="00E7293E"/>
    <w:rsid w:val="00E72A35"/>
    <w:rsid w:val="00E72D6D"/>
    <w:rsid w:val="00E74206"/>
    <w:rsid w:val="00E76ADA"/>
    <w:rsid w:val="00E76FCE"/>
    <w:rsid w:val="00E777C5"/>
    <w:rsid w:val="00E80978"/>
    <w:rsid w:val="00E811E8"/>
    <w:rsid w:val="00E81370"/>
    <w:rsid w:val="00E81935"/>
    <w:rsid w:val="00E81F96"/>
    <w:rsid w:val="00E821DB"/>
    <w:rsid w:val="00E827AD"/>
    <w:rsid w:val="00E82AF5"/>
    <w:rsid w:val="00E82F33"/>
    <w:rsid w:val="00E83266"/>
    <w:rsid w:val="00E8368E"/>
    <w:rsid w:val="00E8383B"/>
    <w:rsid w:val="00E85A01"/>
    <w:rsid w:val="00E85E61"/>
    <w:rsid w:val="00E86265"/>
    <w:rsid w:val="00E866CB"/>
    <w:rsid w:val="00E86B95"/>
    <w:rsid w:val="00E87A20"/>
    <w:rsid w:val="00E91603"/>
    <w:rsid w:val="00E92BF0"/>
    <w:rsid w:val="00E92C27"/>
    <w:rsid w:val="00E9331C"/>
    <w:rsid w:val="00E934DC"/>
    <w:rsid w:val="00E9413C"/>
    <w:rsid w:val="00E946D9"/>
    <w:rsid w:val="00E94855"/>
    <w:rsid w:val="00E94FE8"/>
    <w:rsid w:val="00E957C2"/>
    <w:rsid w:val="00E96831"/>
    <w:rsid w:val="00E96B4C"/>
    <w:rsid w:val="00E97E62"/>
    <w:rsid w:val="00EA06D0"/>
    <w:rsid w:val="00EA0807"/>
    <w:rsid w:val="00EA1BBD"/>
    <w:rsid w:val="00EA385C"/>
    <w:rsid w:val="00EA45F5"/>
    <w:rsid w:val="00EA4F15"/>
    <w:rsid w:val="00EA5907"/>
    <w:rsid w:val="00EA5F53"/>
    <w:rsid w:val="00EA6C60"/>
    <w:rsid w:val="00EA74B9"/>
    <w:rsid w:val="00EB1843"/>
    <w:rsid w:val="00EB1929"/>
    <w:rsid w:val="00EB2791"/>
    <w:rsid w:val="00EB4329"/>
    <w:rsid w:val="00EB4E90"/>
    <w:rsid w:val="00EB514F"/>
    <w:rsid w:val="00EB58A9"/>
    <w:rsid w:val="00EB5F9C"/>
    <w:rsid w:val="00EB67A4"/>
    <w:rsid w:val="00EB7001"/>
    <w:rsid w:val="00EB701A"/>
    <w:rsid w:val="00EC0ABE"/>
    <w:rsid w:val="00EC1009"/>
    <w:rsid w:val="00EC17A6"/>
    <w:rsid w:val="00EC28FA"/>
    <w:rsid w:val="00EC3856"/>
    <w:rsid w:val="00EC3E29"/>
    <w:rsid w:val="00EC4A0E"/>
    <w:rsid w:val="00EC58C2"/>
    <w:rsid w:val="00EC5E5B"/>
    <w:rsid w:val="00EC62A6"/>
    <w:rsid w:val="00EC6B36"/>
    <w:rsid w:val="00EC6BEB"/>
    <w:rsid w:val="00EC6D15"/>
    <w:rsid w:val="00ED010C"/>
    <w:rsid w:val="00ED0B6D"/>
    <w:rsid w:val="00ED145F"/>
    <w:rsid w:val="00ED175F"/>
    <w:rsid w:val="00ED1D94"/>
    <w:rsid w:val="00ED2C03"/>
    <w:rsid w:val="00ED2DBE"/>
    <w:rsid w:val="00ED38CD"/>
    <w:rsid w:val="00ED3BA0"/>
    <w:rsid w:val="00ED4657"/>
    <w:rsid w:val="00ED4C69"/>
    <w:rsid w:val="00ED531A"/>
    <w:rsid w:val="00ED542C"/>
    <w:rsid w:val="00ED551E"/>
    <w:rsid w:val="00ED5F4D"/>
    <w:rsid w:val="00ED6852"/>
    <w:rsid w:val="00ED73E6"/>
    <w:rsid w:val="00ED77D7"/>
    <w:rsid w:val="00EE05D3"/>
    <w:rsid w:val="00EE068E"/>
    <w:rsid w:val="00EE09BC"/>
    <w:rsid w:val="00EE1713"/>
    <w:rsid w:val="00EE1ABB"/>
    <w:rsid w:val="00EE2973"/>
    <w:rsid w:val="00EE2C5B"/>
    <w:rsid w:val="00EE3B6C"/>
    <w:rsid w:val="00EE4A6F"/>
    <w:rsid w:val="00EE56EC"/>
    <w:rsid w:val="00EE5FD8"/>
    <w:rsid w:val="00EE7542"/>
    <w:rsid w:val="00EF15D8"/>
    <w:rsid w:val="00EF2303"/>
    <w:rsid w:val="00EF23DC"/>
    <w:rsid w:val="00EF3D98"/>
    <w:rsid w:val="00EF415E"/>
    <w:rsid w:val="00EF56EC"/>
    <w:rsid w:val="00F00315"/>
    <w:rsid w:val="00F00A9B"/>
    <w:rsid w:val="00F00DE6"/>
    <w:rsid w:val="00F011D8"/>
    <w:rsid w:val="00F01608"/>
    <w:rsid w:val="00F025EF"/>
    <w:rsid w:val="00F02903"/>
    <w:rsid w:val="00F046CB"/>
    <w:rsid w:val="00F04738"/>
    <w:rsid w:val="00F04F12"/>
    <w:rsid w:val="00F0551E"/>
    <w:rsid w:val="00F05C2D"/>
    <w:rsid w:val="00F06CF4"/>
    <w:rsid w:val="00F074A6"/>
    <w:rsid w:val="00F1008E"/>
    <w:rsid w:val="00F104F3"/>
    <w:rsid w:val="00F10D19"/>
    <w:rsid w:val="00F1142D"/>
    <w:rsid w:val="00F125D1"/>
    <w:rsid w:val="00F12B49"/>
    <w:rsid w:val="00F1371B"/>
    <w:rsid w:val="00F15249"/>
    <w:rsid w:val="00F16599"/>
    <w:rsid w:val="00F176FD"/>
    <w:rsid w:val="00F20044"/>
    <w:rsid w:val="00F20447"/>
    <w:rsid w:val="00F204E5"/>
    <w:rsid w:val="00F20DFE"/>
    <w:rsid w:val="00F216AA"/>
    <w:rsid w:val="00F21BB4"/>
    <w:rsid w:val="00F224A6"/>
    <w:rsid w:val="00F25EC3"/>
    <w:rsid w:val="00F267EB"/>
    <w:rsid w:val="00F26ABE"/>
    <w:rsid w:val="00F273AE"/>
    <w:rsid w:val="00F276D8"/>
    <w:rsid w:val="00F277AE"/>
    <w:rsid w:val="00F27B80"/>
    <w:rsid w:val="00F306E6"/>
    <w:rsid w:val="00F30ACE"/>
    <w:rsid w:val="00F3130F"/>
    <w:rsid w:val="00F3153F"/>
    <w:rsid w:val="00F32165"/>
    <w:rsid w:val="00F323A3"/>
    <w:rsid w:val="00F32A8A"/>
    <w:rsid w:val="00F3506A"/>
    <w:rsid w:val="00F353B9"/>
    <w:rsid w:val="00F355FC"/>
    <w:rsid w:val="00F35D25"/>
    <w:rsid w:val="00F3636B"/>
    <w:rsid w:val="00F368C0"/>
    <w:rsid w:val="00F37811"/>
    <w:rsid w:val="00F37AF5"/>
    <w:rsid w:val="00F4071E"/>
    <w:rsid w:val="00F408CA"/>
    <w:rsid w:val="00F408F4"/>
    <w:rsid w:val="00F4095D"/>
    <w:rsid w:val="00F40AF3"/>
    <w:rsid w:val="00F40DE3"/>
    <w:rsid w:val="00F4109A"/>
    <w:rsid w:val="00F42531"/>
    <w:rsid w:val="00F42B14"/>
    <w:rsid w:val="00F4316C"/>
    <w:rsid w:val="00F432E0"/>
    <w:rsid w:val="00F43DE5"/>
    <w:rsid w:val="00F44509"/>
    <w:rsid w:val="00F44564"/>
    <w:rsid w:val="00F4460A"/>
    <w:rsid w:val="00F4578C"/>
    <w:rsid w:val="00F45E93"/>
    <w:rsid w:val="00F471F6"/>
    <w:rsid w:val="00F4741C"/>
    <w:rsid w:val="00F47A98"/>
    <w:rsid w:val="00F47E61"/>
    <w:rsid w:val="00F5124C"/>
    <w:rsid w:val="00F51449"/>
    <w:rsid w:val="00F51ABE"/>
    <w:rsid w:val="00F528E6"/>
    <w:rsid w:val="00F52A68"/>
    <w:rsid w:val="00F536F9"/>
    <w:rsid w:val="00F5474B"/>
    <w:rsid w:val="00F54F42"/>
    <w:rsid w:val="00F55048"/>
    <w:rsid w:val="00F55894"/>
    <w:rsid w:val="00F55D00"/>
    <w:rsid w:val="00F5689E"/>
    <w:rsid w:val="00F57371"/>
    <w:rsid w:val="00F607C4"/>
    <w:rsid w:val="00F61730"/>
    <w:rsid w:val="00F61A69"/>
    <w:rsid w:val="00F61FBF"/>
    <w:rsid w:val="00F63413"/>
    <w:rsid w:val="00F638FF"/>
    <w:rsid w:val="00F63AE9"/>
    <w:rsid w:val="00F64441"/>
    <w:rsid w:val="00F64B12"/>
    <w:rsid w:val="00F65097"/>
    <w:rsid w:val="00F66C80"/>
    <w:rsid w:val="00F66C87"/>
    <w:rsid w:val="00F66E05"/>
    <w:rsid w:val="00F67DC9"/>
    <w:rsid w:val="00F703D7"/>
    <w:rsid w:val="00F70DD9"/>
    <w:rsid w:val="00F72536"/>
    <w:rsid w:val="00F7273A"/>
    <w:rsid w:val="00F72B0C"/>
    <w:rsid w:val="00F73003"/>
    <w:rsid w:val="00F73AA6"/>
    <w:rsid w:val="00F73BAE"/>
    <w:rsid w:val="00F7412F"/>
    <w:rsid w:val="00F75043"/>
    <w:rsid w:val="00F75218"/>
    <w:rsid w:val="00F76394"/>
    <w:rsid w:val="00F76763"/>
    <w:rsid w:val="00F76A5F"/>
    <w:rsid w:val="00F76ED9"/>
    <w:rsid w:val="00F77700"/>
    <w:rsid w:val="00F80D5A"/>
    <w:rsid w:val="00F81293"/>
    <w:rsid w:val="00F8298A"/>
    <w:rsid w:val="00F82B43"/>
    <w:rsid w:val="00F85122"/>
    <w:rsid w:val="00F91179"/>
    <w:rsid w:val="00F912E9"/>
    <w:rsid w:val="00F91B04"/>
    <w:rsid w:val="00F92D38"/>
    <w:rsid w:val="00F941A2"/>
    <w:rsid w:val="00F94475"/>
    <w:rsid w:val="00F949B9"/>
    <w:rsid w:val="00F94E9C"/>
    <w:rsid w:val="00F956C8"/>
    <w:rsid w:val="00F96CC3"/>
    <w:rsid w:val="00F97321"/>
    <w:rsid w:val="00F97638"/>
    <w:rsid w:val="00F97B97"/>
    <w:rsid w:val="00F97CA4"/>
    <w:rsid w:val="00FA157A"/>
    <w:rsid w:val="00FA24DA"/>
    <w:rsid w:val="00FA4902"/>
    <w:rsid w:val="00FA4BC7"/>
    <w:rsid w:val="00FA5733"/>
    <w:rsid w:val="00FA5E6F"/>
    <w:rsid w:val="00FA6E2F"/>
    <w:rsid w:val="00FA747F"/>
    <w:rsid w:val="00FA770F"/>
    <w:rsid w:val="00FB0279"/>
    <w:rsid w:val="00FB12DF"/>
    <w:rsid w:val="00FB1A33"/>
    <w:rsid w:val="00FB1EED"/>
    <w:rsid w:val="00FB2472"/>
    <w:rsid w:val="00FB2500"/>
    <w:rsid w:val="00FB2AF2"/>
    <w:rsid w:val="00FB2B41"/>
    <w:rsid w:val="00FB2D07"/>
    <w:rsid w:val="00FB347F"/>
    <w:rsid w:val="00FB41FF"/>
    <w:rsid w:val="00FB4C98"/>
    <w:rsid w:val="00FB4DA1"/>
    <w:rsid w:val="00FB565F"/>
    <w:rsid w:val="00FB5AFC"/>
    <w:rsid w:val="00FB77A8"/>
    <w:rsid w:val="00FC095C"/>
    <w:rsid w:val="00FC0BE7"/>
    <w:rsid w:val="00FC1BC3"/>
    <w:rsid w:val="00FC3DED"/>
    <w:rsid w:val="00FC4E21"/>
    <w:rsid w:val="00FC5074"/>
    <w:rsid w:val="00FC5649"/>
    <w:rsid w:val="00FC5878"/>
    <w:rsid w:val="00FC7200"/>
    <w:rsid w:val="00FC7E4D"/>
    <w:rsid w:val="00FD053F"/>
    <w:rsid w:val="00FD08B6"/>
    <w:rsid w:val="00FD12B5"/>
    <w:rsid w:val="00FD1F3C"/>
    <w:rsid w:val="00FD26C6"/>
    <w:rsid w:val="00FD308B"/>
    <w:rsid w:val="00FD3FE9"/>
    <w:rsid w:val="00FD4117"/>
    <w:rsid w:val="00FD4C83"/>
    <w:rsid w:val="00FD51D9"/>
    <w:rsid w:val="00FD52E3"/>
    <w:rsid w:val="00FD6AC9"/>
    <w:rsid w:val="00FD6BA4"/>
    <w:rsid w:val="00FD6C9B"/>
    <w:rsid w:val="00FD782F"/>
    <w:rsid w:val="00FE0120"/>
    <w:rsid w:val="00FE081B"/>
    <w:rsid w:val="00FE0BF2"/>
    <w:rsid w:val="00FE19C5"/>
    <w:rsid w:val="00FE2DA4"/>
    <w:rsid w:val="00FE3AB8"/>
    <w:rsid w:val="00FE41FC"/>
    <w:rsid w:val="00FE6B42"/>
    <w:rsid w:val="00FE6E3A"/>
    <w:rsid w:val="00FE7434"/>
    <w:rsid w:val="00FF06E8"/>
    <w:rsid w:val="00FF29AD"/>
    <w:rsid w:val="00FF3946"/>
    <w:rsid w:val="00FF410D"/>
    <w:rsid w:val="00FF42C7"/>
    <w:rsid w:val="00FF4801"/>
    <w:rsid w:val="00FF4ACD"/>
    <w:rsid w:val="00FF61ED"/>
    <w:rsid w:val="00FF62F1"/>
    <w:rsid w:val="00FF6C0D"/>
    <w:rsid w:val="00FF6CAD"/>
    <w:rsid w:val="00FF7788"/>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8975A"/>
  <w15:docId w15:val="{D4D3A0F5-40C0-4344-91D7-0301A6A0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1F19"/>
    <w:pPr>
      <w:widowControl w:val="0"/>
      <w:ind w:firstLine="360"/>
      <w:jc w:val="both"/>
    </w:pPr>
    <w:rPr>
      <w:rFonts w:hAnsi="Arial Unicode MS" w:cs="Arial Unicode MS"/>
      <w:color w:val="000000"/>
      <w:sz w:val="24"/>
      <w:szCs w:val="24"/>
      <w:u w:color="000000"/>
    </w:rPr>
  </w:style>
  <w:style w:type="paragraph" w:styleId="Heading1">
    <w:name w:val="heading 1"/>
    <w:next w:val="Normal"/>
    <w:rsid w:val="007F1F19"/>
    <w:pPr>
      <w:keepNext/>
      <w:jc w:val="center"/>
      <w:outlineLvl w:val="0"/>
    </w:pPr>
    <w:rPr>
      <w:rFonts w:eastAsia="Times New Roman"/>
      <w:smallCaps/>
      <w:color w:val="000000"/>
      <w:kern w:val="28"/>
      <w:sz w:val="24"/>
      <w:szCs w:val="24"/>
      <w:u w:color="000000"/>
    </w:rPr>
  </w:style>
  <w:style w:type="paragraph" w:styleId="Heading2">
    <w:name w:val="heading 2"/>
    <w:next w:val="Normal"/>
    <w:rsid w:val="007F1F19"/>
    <w:pPr>
      <w:keepNext/>
      <w:ind w:left="2070" w:hanging="360"/>
      <w:outlineLvl w:val="1"/>
    </w:pPr>
    <w:rPr>
      <w:rFonts w:eastAsia="Times New Roman"/>
      <w:i/>
      <w:iCs/>
      <w:color w:val="000000"/>
      <w:sz w:val="24"/>
      <w:szCs w:val="24"/>
      <w:u w:color="000000"/>
    </w:rPr>
  </w:style>
  <w:style w:type="paragraph" w:styleId="Heading3">
    <w:name w:val="heading 3"/>
    <w:next w:val="Normal"/>
    <w:rsid w:val="007F1F19"/>
    <w:pPr>
      <w:keepNext/>
      <w:tabs>
        <w:tab w:val="left" w:pos="360"/>
      </w:tabs>
      <w:ind w:left="360" w:hanging="360"/>
      <w:jc w:val="both"/>
      <w:outlineLvl w:val="2"/>
    </w:pPr>
    <w:rPr>
      <w:rFonts w:eastAsia="Times New Roman"/>
      <w:color w:val="000000"/>
      <w:sz w:val="24"/>
      <w:szCs w:val="24"/>
      <w:u w:color="000000"/>
    </w:rPr>
  </w:style>
  <w:style w:type="paragraph" w:styleId="Heading4">
    <w:name w:val="heading 4"/>
    <w:basedOn w:val="Normal"/>
    <w:next w:val="Normal"/>
    <w:link w:val="Heading4Char"/>
    <w:uiPriority w:val="9"/>
    <w:unhideWhenUsed/>
    <w:qFormat/>
    <w:rsid w:val="001C6AF4"/>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B1684D"/>
    <w:pPr>
      <w:keepNext/>
      <w:keepLines/>
      <w:spacing w:before="200"/>
      <w:outlineLvl w:val="4"/>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F19"/>
    <w:rPr>
      <w:u w:val="single"/>
    </w:rPr>
  </w:style>
  <w:style w:type="paragraph" w:styleId="Header">
    <w:name w:val="header"/>
    <w:rsid w:val="007F1F19"/>
    <w:pPr>
      <w:widowControl w:val="0"/>
      <w:tabs>
        <w:tab w:val="center" w:pos="4320"/>
        <w:tab w:val="right" w:pos="8640"/>
      </w:tabs>
      <w:ind w:firstLine="360"/>
      <w:jc w:val="both"/>
    </w:pPr>
    <w:rPr>
      <w:rFonts w:hAnsi="Arial Unicode MS" w:cs="Arial Unicode MS"/>
      <w:color w:val="000000"/>
      <w:sz w:val="24"/>
      <w:szCs w:val="24"/>
      <w:u w:color="000000"/>
    </w:rPr>
  </w:style>
  <w:style w:type="paragraph" w:customStyle="1" w:styleId="HeaderFooter">
    <w:name w:val="Header &amp; Footer"/>
    <w:rsid w:val="007F1F19"/>
    <w:pPr>
      <w:tabs>
        <w:tab w:val="right" w:pos="9020"/>
      </w:tabs>
    </w:pPr>
    <w:rPr>
      <w:rFonts w:ascii="Helvetica" w:eastAsia="Helvetica" w:hAnsi="Helvetica" w:cs="Helvetica"/>
      <w:color w:val="000000"/>
      <w:sz w:val="24"/>
      <w:szCs w:val="24"/>
    </w:rPr>
  </w:style>
  <w:style w:type="paragraph" w:customStyle="1" w:styleId="YourName">
    <w:name w:val="Your Name"/>
    <w:rsid w:val="007F1F19"/>
    <w:pPr>
      <w:widowControl w:val="0"/>
      <w:jc w:val="center"/>
    </w:pPr>
    <w:rPr>
      <w:rFonts w:hAnsi="Arial Unicode MS" w:cs="Arial Unicode MS"/>
      <w:i/>
      <w:iCs/>
      <w:color w:val="000000"/>
      <w:sz w:val="23"/>
      <w:szCs w:val="23"/>
      <w:u w:color="000000"/>
    </w:rPr>
  </w:style>
  <w:style w:type="paragraph" w:styleId="FootnoteText">
    <w:name w:val="footnote text"/>
    <w:aliases w:val="תו תו תו תו,תו תו תו תו Char,טקסט הערות שוליים תו,fn,Footnotes,Footnote ak,*Footnote Text Char,*Footnote Text,טקסט הערות שוליים תו Char Char Char,fn Char Char Char, תו תו תו תו,טקסט הערות שוליים תו Char Char"/>
    <w:link w:val="FootnoteTextChar"/>
    <w:rsid w:val="007F1F19"/>
    <w:pPr>
      <w:widowControl w:val="0"/>
      <w:ind w:firstLine="360"/>
      <w:jc w:val="both"/>
    </w:pPr>
    <w:rPr>
      <w:rFonts w:eastAsia="Times New Roman"/>
      <w:color w:val="000000"/>
      <w:u w:color="000000"/>
    </w:rPr>
  </w:style>
  <w:style w:type="paragraph" w:styleId="TOC1">
    <w:name w:val="toc 1"/>
    <w:uiPriority w:val="39"/>
    <w:rsid w:val="007F1F19"/>
    <w:pPr>
      <w:widowControl w:val="0"/>
      <w:tabs>
        <w:tab w:val="left" w:leader="dot" w:pos="6844"/>
      </w:tabs>
      <w:ind w:left="432" w:hanging="432"/>
      <w:jc w:val="both"/>
    </w:pPr>
    <w:rPr>
      <w:rFonts w:eastAsia="Times New Roman"/>
      <w:color w:val="000000"/>
      <w:sz w:val="24"/>
      <w:szCs w:val="24"/>
      <w:u w:color="000000"/>
    </w:rPr>
  </w:style>
  <w:style w:type="paragraph" w:styleId="TOC2">
    <w:name w:val="toc 2"/>
    <w:uiPriority w:val="39"/>
    <w:rsid w:val="007F1F19"/>
    <w:pPr>
      <w:widowControl w:val="0"/>
      <w:tabs>
        <w:tab w:val="left" w:pos="864"/>
        <w:tab w:val="left" w:leader="dot" w:pos="6844"/>
      </w:tabs>
      <w:ind w:left="864" w:hanging="432"/>
      <w:jc w:val="both"/>
    </w:pPr>
    <w:rPr>
      <w:rFonts w:eastAsia="Times New Roman"/>
      <w:color w:val="000000"/>
      <w:sz w:val="24"/>
      <w:szCs w:val="24"/>
      <w:u w:color="000000"/>
    </w:rPr>
  </w:style>
  <w:style w:type="paragraph" w:styleId="TOC3">
    <w:name w:val="toc 3"/>
    <w:uiPriority w:val="39"/>
    <w:rsid w:val="007F1F19"/>
    <w:pPr>
      <w:widowControl w:val="0"/>
      <w:tabs>
        <w:tab w:val="left" w:pos="1296"/>
        <w:tab w:val="left" w:leader="dot" w:pos="6844"/>
      </w:tabs>
      <w:ind w:left="1296" w:hanging="432"/>
      <w:jc w:val="both"/>
    </w:pPr>
    <w:rPr>
      <w:rFonts w:eastAsia="Times New Roman"/>
      <w:color w:val="000000"/>
      <w:sz w:val="24"/>
      <w:szCs w:val="24"/>
      <w:u w:color="000000"/>
    </w:rPr>
  </w:style>
  <w:style w:type="numbering" w:customStyle="1" w:styleId="List0">
    <w:name w:val="List 0"/>
    <w:basedOn w:val="ImportedStyle1"/>
    <w:rsid w:val="007F1F19"/>
    <w:pPr>
      <w:numPr>
        <w:numId w:val="17"/>
      </w:numPr>
    </w:pPr>
  </w:style>
  <w:style w:type="numbering" w:customStyle="1" w:styleId="ImportedStyle1">
    <w:name w:val="Imported Style 1"/>
    <w:rsid w:val="007F1F19"/>
    <w:pPr>
      <w:numPr>
        <w:numId w:val="14"/>
      </w:numPr>
    </w:pPr>
  </w:style>
  <w:style w:type="paragraph" w:customStyle="1" w:styleId="Default">
    <w:name w:val="Default"/>
    <w:rsid w:val="007F1F19"/>
    <w:pPr>
      <w:widowControl w:val="0"/>
      <w:ind w:firstLine="360"/>
      <w:jc w:val="both"/>
    </w:pPr>
    <w:rPr>
      <w:rFonts w:ascii="Calibri" w:eastAsia="Calibri" w:hAnsi="Calibri" w:cs="Calibri"/>
      <w:color w:val="000000"/>
      <w:sz w:val="24"/>
      <w:szCs w:val="24"/>
      <w:u w:color="000000"/>
    </w:rPr>
  </w:style>
  <w:style w:type="paragraph" w:styleId="NormalWeb">
    <w:name w:val="Normal (Web)"/>
    <w:uiPriority w:val="99"/>
    <w:rsid w:val="007F1F19"/>
    <w:pPr>
      <w:spacing w:before="100" w:after="100"/>
    </w:pPr>
    <w:rPr>
      <w:rFonts w:hAnsi="Arial Unicode MS" w:cs="Arial Unicode MS"/>
      <w:color w:val="000000"/>
      <w:sz w:val="24"/>
      <w:szCs w:val="24"/>
      <w:u w:color="000000"/>
    </w:rPr>
  </w:style>
  <w:style w:type="paragraph" w:customStyle="1" w:styleId="ColorfulShading-Accent31">
    <w:name w:val="Colorful Shading - Accent 31"/>
    <w:rsid w:val="007F1F19"/>
    <w:pPr>
      <w:spacing w:after="200" w:line="276" w:lineRule="auto"/>
      <w:ind w:left="720"/>
    </w:pPr>
    <w:rPr>
      <w:rFonts w:ascii="Calibri" w:eastAsia="Calibri" w:hAnsi="Calibri" w:cs="Calibri"/>
      <w:color w:val="000000"/>
      <w:sz w:val="22"/>
      <w:szCs w:val="22"/>
      <w:u w:color="000000"/>
    </w:rPr>
  </w:style>
  <w:style w:type="paragraph" w:customStyle="1" w:styleId="MediumGrid21">
    <w:name w:val="Medium Grid 21"/>
    <w:rsid w:val="007F1F19"/>
    <w:pPr>
      <w:widowControl w:val="0"/>
      <w:spacing w:before="100"/>
      <w:ind w:firstLine="360"/>
      <w:jc w:val="both"/>
    </w:pPr>
    <w:rPr>
      <w:rFonts w:ascii="Calibri" w:eastAsia="Calibri" w:hAnsi="Calibri" w:cs="Calibri"/>
      <w:color w:val="000000"/>
      <w:sz w:val="22"/>
      <w:szCs w:val="22"/>
      <w:u w:color="000000"/>
    </w:rPr>
  </w:style>
  <w:style w:type="character" w:customStyle="1" w:styleId="Link">
    <w:name w:val="Link"/>
    <w:rsid w:val="007F1F19"/>
    <w:rPr>
      <w:color w:val="0000FF"/>
      <w:u w:val="single" w:color="0000FF"/>
    </w:rPr>
  </w:style>
  <w:style w:type="character" w:customStyle="1" w:styleId="Hyperlink0">
    <w:name w:val="Hyperlink.0"/>
    <w:basedOn w:val="Link"/>
    <w:rsid w:val="007F1F19"/>
    <w:rPr>
      <w:color w:val="000000"/>
      <w:sz w:val="20"/>
      <w:szCs w:val="20"/>
      <w:u w:val="single" w:color="000000"/>
    </w:rPr>
  </w:style>
  <w:style w:type="character" w:styleId="PageNumber">
    <w:name w:val="page number"/>
    <w:rsid w:val="007F1F19"/>
  </w:style>
  <w:style w:type="character" w:customStyle="1" w:styleId="Hyperlink1">
    <w:name w:val="Hyperlink.1"/>
    <w:basedOn w:val="PageNumber"/>
    <w:rsid w:val="007F1F19"/>
    <w:rPr>
      <w:sz w:val="20"/>
      <w:szCs w:val="20"/>
    </w:rPr>
  </w:style>
  <w:style w:type="character" w:customStyle="1" w:styleId="Hyperlink2">
    <w:name w:val="Hyperlink.2"/>
    <w:basedOn w:val="PageNumber"/>
    <w:rsid w:val="007F1F19"/>
  </w:style>
  <w:style w:type="character" w:customStyle="1" w:styleId="Hyperlink3">
    <w:name w:val="Hyperlink.3"/>
    <w:basedOn w:val="PageNumber"/>
    <w:rsid w:val="007F1F19"/>
  </w:style>
  <w:style w:type="paragraph" w:customStyle="1" w:styleId="MediumGrid1-Accent21">
    <w:name w:val="Medium Grid 1 - Accent 21"/>
    <w:rsid w:val="007F1F19"/>
    <w:pPr>
      <w:ind w:left="720"/>
    </w:pPr>
    <w:rPr>
      <w:rFonts w:eastAsia="Times New Roman"/>
      <w:color w:val="000000"/>
      <w:sz w:val="24"/>
      <w:szCs w:val="24"/>
      <w:u w:color="000000"/>
    </w:rPr>
  </w:style>
  <w:style w:type="character" w:customStyle="1" w:styleId="Hyperlink4">
    <w:name w:val="Hyperlink.4"/>
    <w:basedOn w:val="PageNumber"/>
    <w:rsid w:val="007F1F19"/>
    <w:rPr>
      <w:sz w:val="20"/>
      <w:szCs w:val="20"/>
      <w:lang w:val="en-US"/>
    </w:rPr>
  </w:style>
  <w:style w:type="numbering" w:customStyle="1" w:styleId="List1">
    <w:name w:val="List 1"/>
    <w:basedOn w:val="ImportedStyle2"/>
    <w:rsid w:val="007F1F19"/>
    <w:pPr>
      <w:numPr>
        <w:numId w:val="13"/>
      </w:numPr>
    </w:pPr>
  </w:style>
  <w:style w:type="numbering" w:customStyle="1" w:styleId="ImportedStyle2">
    <w:name w:val="Imported Style 2"/>
    <w:rsid w:val="007F1F19"/>
  </w:style>
  <w:style w:type="character" w:customStyle="1" w:styleId="Hyperlink5">
    <w:name w:val="Hyperlink.5"/>
    <w:basedOn w:val="PageNumber"/>
    <w:rsid w:val="007F1F19"/>
    <w:rPr>
      <w:smallCaps/>
      <w:sz w:val="20"/>
      <w:szCs w:val="20"/>
    </w:rPr>
  </w:style>
  <w:style w:type="paragraph" w:styleId="HTMLPreformatted">
    <w:name w:val="HTML Preformatted"/>
    <w:rsid w:val="007F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20"/>
      <w:jc w:val="both"/>
    </w:pPr>
    <w:rPr>
      <w:rFonts w:ascii="Courier New" w:hAnsi="Arial Unicode MS" w:cs="Arial Unicode MS"/>
      <w:color w:val="000000"/>
      <w:u w:color="000000"/>
    </w:rPr>
  </w:style>
  <w:style w:type="character" w:customStyle="1" w:styleId="Hyperlink6">
    <w:name w:val="Hyperlink.6"/>
    <w:basedOn w:val="Link"/>
    <w:rsid w:val="007F1F19"/>
    <w:rPr>
      <w:color w:val="000000"/>
      <w:sz w:val="20"/>
      <w:szCs w:val="20"/>
      <w:u w:val="none" w:color="000000"/>
      <w:lang w:val="de-DE"/>
    </w:rPr>
  </w:style>
  <w:style w:type="paragraph" w:styleId="CommentText">
    <w:name w:val="annotation text"/>
    <w:link w:val="CommentTextChar"/>
    <w:rsid w:val="007F1F19"/>
    <w:pPr>
      <w:widowControl w:val="0"/>
      <w:ind w:firstLine="360"/>
      <w:jc w:val="both"/>
    </w:pPr>
    <w:rPr>
      <w:rFonts w:eastAsia="Times New Roman"/>
      <w:color w:val="000000"/>
      <w:u w:color="000000"/>
    </w:rPr>
  </w:style>
  <w:style w:type="character" w:customStyle="1" w:styleId="Hyperlink7">
    <w:name w:val="Hyperlink.7"/>
    <w:basedOn w:val="Link"/>
    <w:rsid w:val="007F1F19"/>
    <w:rPr>
      <w:color w:val="0000FF"/>
      <w:sz w:val="20"/>
      <w:szCs w:val="20"/>
      <w:u w:val="single" w:color="0000FF"/>
    </w:rPr>
  </w:style>
  <w:style w:type="paragraph" w:styleId="PlainText">
    <w:name w:val="Plain Text"/>
    <w:rsid w:val="007F1F19"/>
    <w:rPr>
      <w:rFonts w:ascii="Calibri" w:eastAsia="Calibri" w:hAnsi="Calibri" w:cs="Calibri"/>
      <w:color w:val="000000"/>
      <w:sz w:val="22"/>
      <w:szCs w:val="22"/>
      <w:u w:color="000000"/>
    </w:rPr>
  </w:style>
  <w:style w:type="character" w:customStyle="1" w:styleId="Hyperlink8">
    <w:name w:val="Hyperlink.8"/>
    <w:basedOn w:val="PageNumber"/>
    <w:rsid w:val="007F1F19"/>
    <w:rPr>
      <w:caps w:val="0"/>
      <w:smallCaps w:val="0"/>
      <w:sz w:val="20"/>
      <w:szCs w:val="20"/>
    </w:rPr>
  </w:style>
  <w:style w:type="character" w:customStyle="1" w:styleId="Hyperlink9">
    <w:name w:val="Hyperlink.9"/>
    <w:basedOn w:val="Link"/>
    <w:rsid w:val="007F1F19"/>
    <w:rPr>
      <w:color w:val="0000FF"/>
      <w:sz w:val="27"/>
      <w:szCs w:val="27"/>
      <w:u w:val="single" w:color="0000FF"/>
    </w:rPr>
  </w:style>
  <w:style w:type="character" w:customStyle="1" w:styleId="Hyperlink10">
    <w:name w:val="Hyperlink.10"/>
    <w:basedOn w:val="Link"/>
    <w:rsid w:val="007F1F19"/>
    <w:rPr>
      <w:rFonts w:ascii="Verdana" w:eastAsia="Verdana" w:hAnsi="Verdana" w:cs="Verdana"/>
      <w:color w:val="0000FF"/>
      <w:u w:val="single" w:color="0000FF"/>
      <w:shd w:val="clear" w:color="auto" w:fill="FFFFFF"/>
    </w:rPr>
  </w:style>
  <w:style w:type="character" w:customStyle="1" w:styleId="Hyperlink11">
    <w:name w:val="Hyperlink.11"/>
    <w:basedOn w:val="PageNumber"/>
    <w:rsid w:val="007F1F19"/>
    <w:rPr>
      <w:i/>
      <w:iCs/>
      <w:color w:val="B00E23"/>
      <w:sz w:val="21"/>
      <w:szCs w:val="21"/>
      <w:u w:color="B00E23"/>
    </w:rPr>
  </w:style>
  <w:style w:type="character" w:styleId="CommentReference">
    <w:name w:val="annotation reference"/>
    <w:basedOn w:val="DefaultParagraphFont"/>
    <w:uiPriority w:val="99"/>
    <w:semiHidden/>
    <w:unhideWhenUsed/>
    <w:rsid w:val="007F1F19"/>
    <w:rPr>
      <w:sz w:val="18"/>
      <w:szCs w:val="18"/>
    </w:rPr>
  </w:style>
  <w:style w:type="paragraph" w:styleId="BalloonText">
    <w:name w:val="Balloon Text"/>
    <w:basedOn w:val="Normal"/>
    <w:link w:val="BalloonTextChar"/>
    <w:uiPriority w:val="99"/>
    <w:semiHidden/>
    <w:unhideWhenUsed/>
    <w:rsid w:val="002318AA"/>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8AA"/>
    <w:rPr>
      <w:rFonts w:ascii="Lucida Grande" w:hAnsi="Lucida Grande" w:cs="Arial Unicode MS"/>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2318AA"/>
    <w:rPr>
      <w:rFonts w:eastAsia="Arial Unicode MS" w:hAnsi="Arial Unicode MS" w:cs="Arial Unicode MS"/>
      <w:b/>
      <w:bCs/>
    </w:rPr>
  </w:style>
  <w:style w:type="character" w:customStyle="1" w:styleId="CommentTextChar">
    <w:name w:val="Comment Text Char"/>
    <w:basedOn w:val="DefaultParagraphFont"/>
    <w:link w:val="CommentText"/>
    <w:rsid w:val="002318AA"/>
    <w:rPr>
      <w:rFonts w:eastAsia="Times New Roman"/>
      <w:color w:val="000000"/>
      <w:u w:color="000000"/>
    </w:rPr>
  </w:style>
  <w:style w:type="character" w:customStyle="1" w:styleId="CommentSubjectChar">
    <w:name w:val="Comment Subject Char"/>
    <w:basedOn w:val="CommentTextChar"/>
    <w:link w:val="CommentSubject"/>
    <w:uiPriority w:val="99"/>
    <w:semiHidden/>
    <w:rsid w:val="002318AA"/>
    <w:rPr>
      <w:rFonts w:eastAsia="Times New Roman" w:hAnsi="Arial Unicode MS" w:cs="Arial Unicode MS"/>
      <w:b/>
      <w:bCs/>
      <w:color w:val="000000"/>
      <w:u w:color="000000"/>
    </w:rPr>
  </w:style>
  <w:style w:type="character" w:styleId="FootnoteReference">
    <w:name w:val="footnote reference"/>
    <w:aliases w:val="*Footnote Reference"/>
    <w:basedOn w:val="DefaultParagraphFont"/>
    <w:unhideWhenUsed/>
    <w:rsid w:val="00476471"/>
    <w:rPr>
      <w:vertAlign w:val="superscript"/>
    </w:rPr>
  </w:style>
  <w:style w:type="character" w:customStyle="1" w:styleId="apple-converted-space">
    <w:name w:val="apple-converted-space"/>
    <w:basedOn w:val="DefaultParagraphFont"/>
    <w:rsid w:val="00476471"/>
  </w:style>
  <w:style w:type="character" w:styleId="Emphasis">
    <w:name w:val="Emphasis"/>
    <w:basedOn w:val="DefaultParagraphFont"/>
    <w:uiPriority w:val="20"/>
    <w:qFormat/>
    <w:rsid w:val="00476471"/>
    <w:rPr>
      <w:i/>
      <w:iCs/>
    </w:rPr>
  </w:style>
  <w:style w:type="character" w:styleId="FollowedHyperlink">
    <w:name w:val="FollowedHyperlink"/>
    <w:basedOn w:val="DefaultParagraphFont"/>
    <w:uiPriority w:val="99"/>
    <w:semiHidden/>
    <w:unhideWhenUsed/>
    <w:rsid w:val="00476471"/>
    <w:rPr>
      <w:color w:val="FF00FF" w:themeColor="followedHyperlink"/>
      <w:u w:val="single"/>
    </w:rPr>
  </w:style>
  <w:style w:type="paragraph" w:styleId="BodyText">
    <w:name w:val="Body Text"/>
    <w:basedOn w:val="Normal"/>
    <w:link w:val="BodyTextChar"/>
    <w:uiPriority w:val="1"/>
    <w:unhideWhenUsed/>
    <w:rsid w:val="00B42E0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0" w:firstLine="0"/>
      <w:jc w:val="left"/>
    </w:pPr>
    <w:rPr>
      <w:rFonts w:ascii="Century Schoolbook" w:eastAsiaTheme="minorHAnsi" w:hAnsi="Century Schoolbook" w:cs="Times New Roman"/>
      <w:color w:val="auto"/>
      <w:bdr w:val="none" w:sz="0" w:space="0" w:color="auto"/>
      <w:lang w:bidi="he-IL"/>
    </w:rPr>
  </w:style>
  <w:style w:type="character" w:customStyle="1" w:styleId="BodyTextChar">
    <w:name w:val="Body Text Char"/>
    <w:basedOn w:val="DefaultParagraphFont"/>
    <w:link w:val="BodyText"/>
    <w:uiPriority w:val="1"/>
    <w:rsid w:val="00B42E00"/>
    <w:rPr>
      <w:rFonts w:ascii="Century Schoolbook" w:eastAsiaTheme="minorHAnsi" w:hAnsi="Century Schoolbook"/>
      <w:sz w:val="24"/>
      <w:szCs w:val="24"/>
      <w:bdr w:val="none" w:sz="0" w:space="0" w:color="auto"/>
      <w:lang w:bidi="he-IL"/>
    </w:rPr>
  </w:style>
  <w:style w:type="character" w:styleId="Strong">
    <w:name w:val="Strong"/>
    <w:basedOn w:val="DefaultParagraphFont"/>
    <w:uiPriority w:val="22"/>
    <w:qFormat/>
    <w:rsid w:val="00E4735B"/>
    <w:rPr>
      <w:b/>
      <w:bCs/>
    </w:rPr>
  </w:style>
  <w:style w:type="character" w:customStyle="1" w:styleId="FootnoteTextChar">
    <w:name w:val="Footnote Text Char"/>
    <w:aliases w:val="תו תו תו תו Char1,תו תו תו תו Char Char,טקסט הערות שוליים תו Char,fn Char,Footnotes Char,Footnote ak Char,*Footnote Text Char Char,*Footnote Text Char1,טקסט הערות שוליים תו Char Char Char Char,fn Char Char Char Char, תו תו תו תו Char"/>
    <w:basedOn w:val="DefaultParagraphFont"/>
    <w:link w:val="FootnoteText"/>
    <w:rsid w:val="00DD4A6B"/>
    <w:rPr>
      <w:rFonts w:eastAsia="Times New Roman"/>
      <w:color w:val="000000"/>
      <w:u w:color="000000"/>
    </w:rPr>
  </w:style>
  <w:style w:type="paragraph" w:customStyle="1" w:styleId="byline-dateline">
    <w:name w:val="byline-dateline"/>
    <w:basedOn w:val="Normal"/>
    <w:rsid w:val="006C377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hAnsi="Times New Roman" w:cs="Times New Roman"/>
      <w:color w:val="auto"/>
      <w:bdr w:val="none" w:sz="0" w:space="0" w:color="auto"/>
      <w:lang w:bidi="he-IL"/>
    </w:rPr>
  </w:style>
  <w:style w:type="character" w:customStyle="1" w:styleId="byline">
    <w:name w:val="byline"/>
    <w:basedOn w:val="DefaultParagraphFont"/>
    <w:rsid w:val="006C377C"/>
  </w:style>
  <w:style w:type="character" w:customStyle="1" w:styleId="byline-author">
    <w:name w:val="byline-author"/>
    <w:basedOn w:val="DefaultParagraphFont"/>
    <w:rsid w:val="006C377C"/>
  </w:style>
  <w:style w:type="character" w:customStyle="1" w:styleId="cosearchterm">
    <w:name w:val="co_searchterm"/>
    <w:basedOn w:val="DefaultParagraphFont"/>
    <w:rsid w:val="00231B8E"/>
  </w:style>
  <w:style w:type="character" w:customStyle="1" w:styleId="Heading4Char">
    <w:name w:val="Heading 4 Char"/>
    <w:basedOn w:val="DefaultParagraphFont"/>
    <w:link w:val="Heading4"/>
    <w:uiPriority w:val="9"/>
    <w:rsid w:val="001C6AF4"/>
    <w:rPr>
      <w:rFonts w:asciiTheme="majorHAnsi" w:eastAsiaTheme="majorEastAsia" w:hAnsiTheme="majorHAnsi" w:cstheme="majorBidi"/>
      <w:b/>
      <w:bCs/>
      <w:i/>
      <w:iCs/>
      <w:color w:val="499BC9" w:themeColor="accent1"/>
      <w:sz w:val="24"/>
      <w:szCs w:val="24"/>
      <w:u w:color="000000"/>
    </w:rPr>
  </w:style>
  <w:style w:type="character" w:customStyle="1" w:styleId="sub-head">
    <w:name w:val="sub-head"/>
    <w:basedOn w:val="DefaultParagraphFont"/>
    <w:rsid w:val="0070099F"/>
  </w:style>
  <w:style w:type="character" w:customStyle="1" w:styleId="issue">
    <w:name w:val="issue"/>
    <w:basedOn w:val="DefaultParagraphFont"/>
    <w:rsid w:val="0070099F"/>
  </w:style>
  <w:style w:type="character" w:customStyle="1" w:styleId="Heading5Char">
    <w:name w:val="Heading 5 Char"/>
    <w:basedOn w:val="DefaultParagraphFont"/>
    <w:link w:val="Heading5"/>
    <w:uiPriority w:val="9"/>
    <w:rsid w:val="00B1684D"/>
    <w:rPr>
      <w:rFonts w:asciiTheme="majorHAnsi" w:eastAsiaTheme="majorEastAsia" w:hAnsiTheme="majorHAnsi" w:cstheme="majorBidi"/>
      <w:color w:val="1F4E69" w:themeColor="accent1" w:themeShade="7F"/>
      <w:sz w:val="24"/>
      <w:szCs w:val="24"/>
      <w:u w:color="000000"/>
    </w:rPr>
  </w:style>
  <w:style w:type="character" w:customStyle="1" w:styleId="views">
    <w:name w:val="views"/>
    <w:basedOn w:val="DefaultParagraphFont"/>
    <w:rsid w:val="00B1684D"/>
  </w:style>
  <w:style w:type="character" w:customStyle="1" w:styleId="cosmallcaps">
    <w:name w:val="co_smallcaps"/>
    <w:basedOn w:val="DefaultParagraphFont"/>
    <w:rsid w:val="00E92C27"/>
  </w:style>
  <w:style w:type="paragraph" w:styleId="ListParagraph">
    <w:name w:val="List Paragraph"/>
    <w:basedOn w:val="Normal"/>
    <w:uiPriority w:val="34"/>
    <w:qFormat/>
    <w:rsid w:val="00E92C27"/>
    <w:pPr>
      <w:ind w:left="720"/>
      <w:contextualSpacing/>
    </w:pPr>
  </w:style>
  <w:style w:type="paragraph" w:styleId="Revision">
    <w:name w:val="Revision"/>
    <w:hidden/>
    <w:uiPriority w:val="99"/>
    <w:semiHidden/>
    <w:rsid w:val="00372774"/>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paragraph" w:styleId="TOC4">
    <w:name w:val="toc 4"/>
    <w:basedOn w:val="Normal"/>
    <w:next w:val="Normal"/>
    <w:autoRedefine/>
    <w:uiPriority w:val="39"/>
    <w:unhideWhenUsed/>
    <w:rsid w:val="00EE56EC"/>
    <w:pPr>
      <w:ind w:left="720"/>
    </w:pPr>
  </w:style>
  <w:style w:type="paragraph" w:styleId="TOC5">
    <w:name w:val="toc 5"/>
    <w:basedOn w:val="Normal"/>
    <w:next w:val="Normal"/>
    <w:autoRedefine/>
    <w:uiPriority w:val="39"/>
    <w:unhideWhenUsed/>
    <w:rsid w:val="00EE56EC"/>
    <w:pPr>
      <w:ind w:left="960"/>
    </w:pPr>
  </w:style>
  <w:style w:type="paragraph" w:styleId="TOC6">
    <w:name w:val="toc 6"/>
    <w:basedOn w:val="Normal"/>
    <w:next w:val="Normal"/>
    <w:autoRedefine/>
    <w:uiPriority w:val="39"/>
    <w:unhideWhenUsed/>
    <w:rsid w:val="00EE56EC"/>
    <w:pPr>
      <w:ind w:left="1200"/>
    </w:pPr>
  </w:style>
  <w:style w:type="paragraph" w:styleId="TOC7">
    <w:name w:val="toc 7"/>
    <w:basedOn w:val="Normal"/>
    <w:next w:val="Normal"/>
    <w:autoRedefine/>
    <w:uiPriority w:val="39"/>
    <w:unhideWhenUsed/>
    <w:rsid w:val="00EE56EC"/>
    <w:pPr>
      <w:ind w:left="1440"/>
    </w:pPr>
  </w:style>
  <w:style w:type="paragraph" w:styleId="TOC8">
    <w:name w:val="toc 8"/>
    <w:basedOn w:val="Normal"/>
    <w:next w:val="Normal"/>
    <w:autoRedefine/>
    <w:uiPriority w:val="39"/>
    <w:unhideWhenUsed/>
    <w:rsid w:val="00EE56EC"/>
    <w:pPr>
      <w:ind w:left="1680"/>
    </w:pPr>
  </w:style>
  <w:style w:type="paragraph" w:styleId="TOC9">
    <w:name w:val="toc 9"/>
    <w:basedOn w:val="Normal"/>
    <w:next w:val="Normal"/>
    <w:autoRedefine/>
    <w:uiPriority w:val="39"/>
    <w:unhideWhenUsed/>
    <w:rsid w:val="00EE56EC"/>
    <w:pPr>
      <w:ind w:left="1920"/>
    </w:pPr>
  </w:style>
  <w:style w:type="character" w:styleId="HTMLCite">
    <w:name w:val="HTML Cite"/>
    <w:basedOn w:val="DefaultParagraphFont"/>
    <w:uiPriority w:val="99"/>
    <w:semiHidden/>
    <w:unhideWhenUsed/>
    <w:rsid w:val="00F81293"/>
    <w:rPr>
      <w:i/>
      <w:iCs/>
    </w:rPr>
  </w:style>
  <w:style w:type="character" w:customStyle="1" w:styleId="f">
    <w:name w:val="f"/>
    <w:basedOn w:val="DefaultParagraphFont"/>
    <w:rsid w:val="006606A2"/>
  </w:style>
  <w:style w:type="character" w:customStyle="1" w:styleId="documentbody1">
    <w:name w:val="documentbody1"/>
    <w:basedOn w:val="DefaultParagraphFont"/>
    <w:rsid w:val="009276CA"/>
    <w:rPr>
      <w:rFonts w:ascii="Verdana" w:hAnsi="Verdana" w:hint="default"/>
      <w:sz w:val="19"/>
      <w:szCs w:val="19"/>
    </w:rPr>
  </w:style>
  <w:style w:type="paragraph" w:styleId="EndnoteText">
    <w:name w:val="endnote text"/>
    <w:basedOn w:val="Normal"/>
    <w:link w:val="EndnoteTextChar"/>
    <w:uiPriority w:val="99"/>
    <w:semiHidden/>
    <w:unhideWhenUsed/>
    <w:rsid w:val="00215B47"/>
    <w:rPr>
      <w:sz w:val="20"/>
      <w:szCs w:val="20"/>
    </w:rPr>
  </w:style>
  <w:style w:type="character" w:customStyle="1" w:styleId="EndnoteTextChar">
    <w:name w:val="Endnote Text Char"/>
    <w:basedOn w:val="DefaultParagraphFont"/>
    <w:link w:val="EndnoteText"/>
    <w:uiPriority w:val="99"/>
    <w:semiHidden/>
    <w:rsid w:val="00215B47"/>
    <w:rPr>
      <w:rFonts w:hAnsi="Arial Unicode MS" w:cs="Arial Unicode MS"/>
      <w:color w:val="000000"/>
      <w:u w:color="000000"/>
    </w:rPr>
  </w:style>
  <w:style w:type="character" w:styleId="EndnoteReference">
    <w:name w:val="endnote reference"/>
    <w:basedOn w:val="DefaultParagraphFont"/>
    <w:uiPriority w:val="99"/>
    <w:semiHidden/>
    <w:unhideWhenUsed/>
    <w:rsid w:val="00215B47"/>
    <w:rPr>
      <w:vertAlign w:val="superscript"/>
    </w:rPr>
  </w:style>
  <w:style w:type="paragraph" w:styleId="Subtitle">
    <w:name w:val="Subtitle"/>
    <w:basedOn w:val="Normal"/>
    <w:next w:val="Normal"/>
    <w:link w:val="SubtitleChar"/>
    <w:uiPriority w:val="11"/>
    <w:qFormat/>
    <w:rsid w:val="004258A8"/>
    <w:pPr>
      <w:numPr>
        <w:ilvl w:val="1"/>
      </w:numPr>
      <w:ind w:firstLine="360"/>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4258A8"/>
    <w:rPr>
      <w:rFonts w:asciiTheme="majorHAnsi" w:eastAsiaTheme="majorEastAsia" w:hAnsiTheme="majorHAnsi" w:cstheme="majorBidi"/>
      <w:i/>
      <w:iCs/>
      <w:color w:val="499BC9" w:themeColor="accent1"/>
      <w:spacing w:val="15"/>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93">
      <w:bodyDiv w:val="1"/>
      <w:marLeft w:val="0"/>
      <w:marRight w:val="0"/>
      <w:marTop w:val="0"/>
      <w:marBottom w:val="0"/>
      <w:divBdr>
        <w:top w:val="none" w:sz="0" w:space="0" w:color="auto"/>
        <w:left w:val="none" w:sz="0" w:space="0" w:color="auto"/>
        <w:bottom w:val="none" w:sz="0" w:space="0" w:color="auto"/>
        <w:right w:val="none" w:sz="0" w:space="0" w:color="auto"/>
      </w:divBdr>
      <w:divsChild>
        <w:div w:id="814375486">
          <w:marLeft w:val="0"/>
          <w:marRight w:val="0"/>
          <w:marTop w:val="0"/>
          <w:marBottom w:val="0"/>
          <w:divBdr>
            <w:top w:val="none" w:sz="0" w:space="0" w:color="auto"/>
            <w:left w:val="none" w:sz="0" w:space="0" w:color="auto"/>
            <w:bottom w:val="none" w:sz="0" w:space="0" w:color="auto"/>
            <w:right w:val="none" w:sz="0" w:space="0" w:color="auto"/>
          </w:divBdr>
          <w:divsChild>
            <w:div w:id="21033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831">
      <w:bodyDiv w:val="1"/>
      <w:marLeft w:val="0"/>
      <w:marRight w:val="0"/>
      <w:marTop w:val="0"/>
      <w:marBottom w:val="0"/>
      <w:divBdr>
        <w:top w:val="none" w:sz="0" w:space="0" w:color="auto"/>
        <w:left w:val="none" w:sz="0" w:space="0" w:color="auto"/>
        <w:bottom w:val="none" w:sz="0" w:space="0" w:color="auto"/>
        <w:right w:val="none" w:sz="0" w:space="0" w:color="auto"/>
      </w:divBdr>
      <w:divsChild>
        <w:div w:id="92745578">
          <w:marLeft w:val="0"/>
          <w:marRight w:val="0"/>
          <w:marTop w:val="0"/>
          <w:marBottom w:val="0"/>
          <w:divBdr>
            <w:top w:val="none" w:sz="0" w:space="0" w:color="auto"/>
            <w:left w:val="none" w:sz="0" w:space="0" w:color="auto"/>
            <w:bottom w:val="none" w:sz="0" w:space="0" w:color="auto"/>
            <w:right w:val="none" w:sz="0" w:space="0" w:color="auto"/>
          </w:divBdr>
          <w:divsChild>
            <w:div w:id="2547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121">
      <w:bodyDiv w:val="1"/>
      <w:marLeft w:val="0"/>
      <w:marRight w:val="0"/>
      <w:marTop w:val="0"/>
      <w:marBottom w:val="0"/>
      <w:divBdr>
        <w:top w:val="none" w:sz="0" w:space="0" w:color="auto"/>
        <w:left w:val="none" w:sz="0" w:space="0" w:color="auto"/>
        <w:bottom w:val="none" w:sz="0" w:space="0" w:color="auto"/>
        <w:right w:val="none" w:sz="0" w:space="0" w:color="auto"/>
      </w:divBdr>
      <w:divsChild>
        <w:div w:id="1012418789">
          <w:marLeft w:val="45"/>
          <w:marRight w:val="45"/>
          <w:marTop w:val="0"/>
          <w:marBottom w:val="0"/>
          <w:divBdr>
            <w:top w:val="none" w:sz="0" w:space="0" w:color="auto"/>
            <w:left w:val="none" w:sz="0" w:space="0" w:color="auto"/>
            <w:bottom w:val="none" w:sz="0" w:space="0" w:color="auto"/>
            <w:right w:val="none" w:sz="0" w:space="0" w:color="auto"/>
          </w:divBdr>
          <w:divsChild>
            <w:div w:id="1286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329">
      <w:bodyDiv w:val="1"/>
      <w:marLeft w:val="0"/>
      <w:marRight w:val="0"/>
      <w:marTop w:val="0"/>
      <w:marBottom w:val="0"/>
      <w:divBdr>
        <w:top w:val="none" w:sz="0" w:space="0" w:color="auto"/>
        <w:left w:val="none" w:sz="0" w:space="0" w:color="auto"/>
        <w:bottom w:val="none" w:sz="0" w:space="0" w:color="auto"/>
        <w:right w:val="none" w:sz="0" w:space="0" w:color="auto"/>
      </w:divBdr>
      <w:divsChild>
        <w:div w:id="81143497">
          <w:marLeft w:val="0"/>
          <w:marRight w:val="0"/>
          <w:marTop w:val="0"/>
          <w:marBottom w:val="0"/>
          <w:divBdr>
            <w:top w:val="single" w:sz="6" w:space="2" w:color="E2E2E2"/>
            <w:left w:val="none" w:sz="0" w:space="0" w:color="auto"/>
            <w:bottom w:val="none" w:sz="0" w:space="0" w:color="auto"/>
            <w:right w:val="none" w:sz="0" w:space="0" w:color="auto"/>
          </w:divBdr>
        </w:div>
      </w:divsChild>
    </w:div>
    <w:div w:id="107548843">
      <w:bodyDiv w:val="1"/>
      <w:marLeft w:val="0"/>
      <w:marRight w:val="0"/>
      <w:marTop w:val="0"/>
      <w:marBottom w:val="0"/>
      <w:divBdr>
        <w:top w:val="none" w:sz="0" w:space="0" w:color="auto"/>
        <w:left w:val="none" w:sz="0" w:space="0" w:color="auto"/>
        <w:bottom w:val="none" w:sz="0" w:space="0" w:color="auto"/>
        <w:right w:val="none" w:sz="0" w:space="0" w:color="auto"/>
      </w:divBdr>
      <w:divsChild>
        <w:div w:id="471676965">
          <w:marLeft w:val="0"/>
          <w:marRight w:val="0"/>
          <w:marTop w:val="0"/>
          <w:marBottom w:val="0"/>
          <w:divBdr>
            <w:top w:val="none" w:sz="0" w:space="0" w:color="auto"/>
            <w:left w:val="none" w:sz="0" w:space="0" w:color="auto"/>
            <w:bottom w:val="none" w:sz="0" w:space="0" w:color="auto"/>
            <w:right w:val="none" w:sz="0" w:space="0" w:color="auto"/>
          </w:divBdr>
          <w:divsChild>
            <w:div w:id="436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496">
      <w:bodyDiv w:val="1"/>
      <w:marLeft w:val="0"/>
      <w:marRight w:val="0"/>
      <w:marTop w:val="0"/>
      <w:marBottom w:val="0"/>
      <w:divBdr>
        <w:top w:val="none" w:sz="0" w:space="0" w:color="auto"/>
        <w:left w:val="none" w:sz="0" w:space="0" w:color="auto"/>
        <w:bottom w:val="none" w:sz="0" w:space="0" w:color="auto"/>
        <w:right w:val="none" w:sz="0" w:space="0" w:color="auto"/>
      </w:divBdr>
    </w:div>
    <w:div w:id="203912656">
      <w:bodyDiv w:val="1"/>
      <w:marLeft w:val="0"/>
      <w:marRight w:val="0"/>
      <w:marTop w:val="0"/>
      <w:marBottom w:val="0"/>
      <w:divBdr>
        <w:top w:val="none" w:sz="0" w:space="0" w:color="auto"/>
        <w:left w:val="none" w:sz="0" w:space="0" w:color="auto"/>
        <w:bottom w:val="none" w:sz="0" w:space="0" w:color="auto"/>
        <w:right w:val="none" w:sz="0" w:space="0" w:color="auto"/>
      </w:divBdr>
    </w:div>
    <w:div w:id="215625874">
      <w:bodyDiv w:val="1"/>
      <w:marLeft w:val="0"/>
      <w:marRight w:val="0"/>
      <w:marTop w:val="0"/>
      <w:marBottom w:val="0"/>
      <w:divBdr>
        <w:top w:val="none" w:sz="0" w:space="0" w:color="auto"/>
        <w:left w:val="none" w:sz="0" w:space="0" w:color="auto"/>
        <w:bottom w:val="none" w:sz="0" w:space="0" w:color="auto"/>
        <w:right w:val="none" w:sz="0" w:space="0" w:color="auto"/>
      </w:divBdr>
    </w:div>
    <w:div w:id="222837765">
      <w:bodyDiv w:val="1"/>
      <w:marLeft w:val="0"/>
      <w:marRight w:val="0"/>
      <w:marTop w:val="0"/>
      <w:marBottom w:val="0"/>
      <w:divBdr>
        <w:top w:val="none" w:sz="0" w:space="0" w:color="auto"/>
        <w:left w:val="none" w:sz="0" w:space="0" w:color="auto"/>
        <w:bottom w:val="none" w:sz="0" w:space="0" w:color="auto"/>
        <w:right w:val="none" w:sz="0" w:space="0" w:color="auto"/>
      </w:divBdr>
      <w:divsChild>
        <w:div w:id="1248929471">
          <w:marLeft w:val="0"/>
          <w:marRight w:val="0"/>
          <w:marTop w:val="0"/>
          <w:marBottom w:val="0"/>
          <w:divBdr>
            <w:top w:val="none" w:sz="0" w:space="0" w:color="auto"/>
            <w:left w:val="none" w:sz="0" w:space="0" w:color="auto"/>
            <w:bottom w:val="none" w:sz="0" w:space="0" w:color="auto"/>
            <w:right w:val="none" w:sz="0" w:space="0" w:color="auto"/>
          </w:divBdr>
          <w:divsChild>
            <w:div w:id="17769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4702">
      <w:bodyDiv w:val="1"/>
      <w:marLeft w:val="0"/>
      <w:marRight w:val="0"/>
      <w:marTop w:val="0"/>
      <w:marBottom w:val="0"/>
      <w:divBdr>
        <w:top w:val="none" w:sz="0" w:space="0" w:color="auto"/>
        <w:left w:val="none" w:sz="0" w:space="0" w:color="auto"/>
        <w:bottom w:val="none" w:sz="0" w:space="0" w:color="auto"/>
        <w:right w:val="none" w:sz="0" w:space="0" w:color="auto"/>
      </w:divBdr>
      <w:divsChild>
        <w:div w:id="994530737">
          <w:marLeft w:val="0"/>
          <w:marRight w:val="0"/>
          <w:marTop w:val="0"/>
          <w:marBottom w:val="0"/>
          <w:divBdr>
            <w:top w:val="none" w:sz="0" w:space="0" w:color="auto"/>
            <w:left w:val="none" w:sz="0" w:space="0" w:color="auto"/>
            <w:bottom w:val="none" w:sz="0" w:space="0" w:color="auto"/>
            <w:right w:val="none" w:sz="0" w:space="0" w:color="auto"/>
          </w:divBdr>
          <w:divsChild>
            <w:div w:id="6043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0449">
      <w:bodyDiv w:val="1"/>
      <w:marLeft w:val="0"/>
      <w:marRight w:val="0"/>
      <w:marTop w:val="0"/>
      <w:marBottom w:val="0"/>
      <w:divBdr>
        <w:top w:val="none" w:sz="0" w:space="0" w:color="auto"/>
        <w:left w:val="none" w:sz="0" w:space="0" w:color="auto"/>
        <w:bottom w:val="none" w:sz="0" w:space="0" w:color="auto"/>
        <w:right w:val="none" w:sz="0" w:space="0" w:color="auto"/>
      </w:divBdr>
      <w:divsChild>
        <w:div w:id="595213373">
          <w:marLeft w:val="0"/>
          <w:marRight w:val="0"/>
          <w:marTop w:val="0"/>
          <w:marBottom w:val="0"/>
          <w:divBdr>
            <w:top w:val="none" w:sz="0" w:space="0" w:color="auto"/>
            <w:left w:val="none" w:sz="0" w:space="0" w:color="auto"/>
            <w:bottom w:val="none" w:sz="0" w:space="0" w:color="auto"/>
            <w:right w:val="none" w:sz="0" w:space="0" w:color="auto"/>
          </w:divBdr>
          <w:divsChild>
            <w:div w:id="3512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4254">
      <w:bodyDiv w:val="1"/>
      <w:marLeft w:val="0"/>
      <w:marRight w:val="0"/>
      <w:marTop w:val="0"/>
      <w:marBottom w:val="0"/>
      <w:divBdr>
        <w:top w:val="none" w:sz="0" w:space="0" w:color="auto"/>
        <w:left w:val="none" w:sz="0" w:space="0" w:color="auto"/>
        <w:bottom w:val="none" w:sz="0" w:space="0" w:color="auto"/>
        <w:right w:val="none" w:sz="0" w:space="0" w:color="auto"/>
      </w:divBdr>
      <w:divsChild>
        <w:div w:id="1474367947">
          <w:marLeft w:val="0"/>
          <w:marRight w:val="0"/>
          <w:marTop w:val="0"/>
          <w:marBottom w:val="0"/>
          <w:divBdr>
            <w:top w:val="none" w:sz="0" w:space="0" w:color="auto"/>
            <w:left w:val="none" w:sz="0" w:space="0" w:color="auto"/>
            <w:bottom w:val="none" w:sz="0" w:space="0" w:color="auto"/>
            <w:right w:val="none" w:sz="0" w:space="0" w:color="auto"/>
          </w:divBdr>
          <w:divsChild>
            <w:div w:id="7117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463">
      <w:bodyDiv w:val="1"/>
      <w:marLeft w:val="0"/>
      <w:marRight w:val="0"/>
      <w:marTop w:val="0"/>
      <w:marBottom w:val="0"/>
      <w:divBdr>
        <w:top w:val="none" w:sz="0" w:space="0" w:color="auto"/>
        <w:left w:val="none" w:sz="0" w:space="0" w:color="auto"/>
        <w:bottom w:val="none" w:sz="0" w:space="0" w:color="auto"/>
        <w:right w:val="none" w:sz="0" w:space="0" w:color="auto"/>
      </w:divBdr>
      <w:divsChild>
        <w:div w:id="879636264">
          <w:marLeft w:val="0"/>
          <w:marRight w:val="0"/>
          <w:marTop w:val="0"/>
          <w:marBottom w:val="0"/>
          <w:divBdr>
            <w:top w:val="none" w:sz="0" w:space="0" w:color="auto"/>
            <w:left w:val="none" w:sz="0" w:space="0" w:color="auto"/>
            <w:bottom w:val="none" w:sz="0" w:space="0" w:color="auto"/>
            <w:right w:val="none" w:sz="0" w:space="0" w:color="auto"/>
          </w:divBdr>
          <w:divsChild>
            <w:div w:id="108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29871">
      <w:bodyDiv w:val="1"/>
      <w:marLeft w:val="0"/>
      <w:marRight w:val="0"/>
      <w:marTop w:val="0"/>
      <w:marBottom w:val="0"/>
      <w:divBdr>
        <w:top w:val="none" w:sz="0" w:space="0" w:color="auto"/>
        <w:left w:val="none" w:sz="0" w:space="0" w:color="auto"/>
        <w:bottom w:val="none" w:sz="0" w:space="0" w:color="auto"/>
        <w:right w:val="none" w:sz="0" w:space="0" w:color="auto"/>
      </w:divBdr>
    </w:div>
    <w:div w:id="462386523">
      <w:bodyDiv w:val="1"/>
      <w:marLeft w:val="0"/>
      <w:marRight w:val="0"/>
      <w:marTop w:val="0"/>
      <w:marBottom w:val="0"/>
      <w:divBdr>
        <w:top w:val="none" w:sz="0" w:space="0" w:color="auto"/>
        <w:left w:val="none" w:sz="0" w:space="0" w:color="auto"/>
        <w:bottom w:val="none" w:sz="0" w:space="0" w:color="auto"/>
        <w:right w:val="none" w:sz="0" w:space="0" w:color="auto"/>
      </w:divBdr>
      <w:divsChild>
        <w:div w:id="2126341344">
          <w:marLeft w:val="0"/>
          <w:marRight w:val="0"/>
          <w:marTop w:val="0"/>
          <w:marBottom w:val="0"/>
          <w:divBdr>
            <w:top w:val="none" w:sz="0" w:space="0" w:color="auto"/>
            <w:left w:val="none" w:sz="0" w:space="0" w:color="auto"/>
            <w:bottom w:val="none" w:sz="0" w:space="0" w:color="auto"/>
            <w:right w:val="none" w:sz="0" w:space="0" w:color="auto"/>
          </w:divBdr>
          <w:divsChild>
            <w:div w:id="14879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6498">
      <w:bodyDiv w:val="1"/>
      <w:marLeft w:val="0"/>
      <w:marRight w:val="0"/>
      <w:marTop w:val="0"/>
      <w:marBottom w:val="0"/>
      <w:divBdr>
        <w:top w:val="none" w:sz="0" w:space="0" w:color="auto"/>
        <w:left w:val="none" w:sz="0" w:space="0" w:color="auto"/>
        <w:bottom w:val="none" w:sz="0" w:space="0" w:color="auto"/>
        <w:right w:val="none" w:sz="0" w:space="0" w:color="auto"/>
      </w:divBdr>
      <w:divsChild>
        <w:div w:id="1156065994">
          <w:marLeft w:val="0"/>
          <w:marRight w:val="0"/>
          <w:marTop w:val="0"/>
          <w:marBottom w:val="0"/>
          <w:divBdr>
            <w:top w:val="none" w:sz="0" w:space="0" w:color="auto"/>
            <w:left w:val="none" w:sz="0" w:space="0" w:color="auto"/>
            <w:bottom w:val="none" w:sz="0" w:space="0" w:color="auto"/>
            <w:right w:val="none" w:sz="0" w:space="0" w:color="auto"/>
          </w:divBdr>
          <w:divsChild>
            <w:div w:id="10523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622">
      <w:bodyDiv w:val="1"/>
      <w:marLeft w:val="0"/>
      <w:marRight w:val="0"/>
      <w:marTop w:val="0"/>
      <w:marBottom w:val="0"/>
      <w:divBdr>
        <w:top w:val="none" w:sz="0" w:space="0" w:color="auto"/>
        <w:left w:val="none" w:sz="0" w:space="0" w:color="auto"/>
        <w:bottom w:val="none" w:sz="0" w:space="0" w:color="auto"/>
        <w:right w:val="none" w:sz="0" w:space="0" w:color="auto"/>
      </w:divBdr>
      <w:divsChild>
        <w:div w:id="645014097">
          <w:marLeft w:val="0"/>
          <w:marRight w:val="0"/>
          <w:marTop w:val="0"/>
          <w:marBottom w:val="0"/>
          <w:divBdr>
            <w:top w:val="none" w:sz="0" w:space="0" w:color="auto"/>
            <w:left w:val="none" w:sz="0" w:space="0" w:color="auto"/>
            <w:bottom w:val="none" w:sz="0" w:space="0" w:color="auto"/>
            <w:right w:val="none" w:sz="0" w:space="0" w:color="auto"/>
          </w:divBdr>
          <w:divsChild>
            <w:div w:id="1198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585">
      <w:bodyDiv w:val="1"/>
      <w:marLeft w:val="0"/>
      <w:marRight w:val="0"/>
      <w:marTop w:val="0"/>
      <w:marBottom w:val="0"/>
      <w:divBdr>
        <w:top w:val="none" w:sz="0" w:space="0" w:color="auto"/>
        <w:left w:val="none" w:sz="0" w:space="0" w:color="auto"/>
        <w:bottom w:val="none" w:sz="0" w:space="0" w:color="auto"/>
        <w:right w:val="none" w:sz="0" w:space="0" w:color="auto"/>
      </w:divBdr>
      <w:divsChild>
        <w:div w:id="1508786141">
          <w:marLeft w:val="0"/>
          <w:marRight w:val="0"/>
          <w:marTop w:val="0"/>
          <w:marBottom w:val="0"/>
          <w:divBdr>
            <w:top w:val="none" w:sz="0" w:space="0" w:color="auto"/>
            <w:left w:val="none" w:sz="0" w:space="0" w:color="auto"/>
            <w:bottom w:val="none" w:sz="0" w:space="0" w:color="auto"/>
            <w:right w:val="none" w:sz="0" w:space="0" w:color="auto"/>
          </w:divBdr>
          <w:divsChild>
            <w:div w:id="556279515">
              <w:marLeft w:val="0"/>
              <w:marRight w:val="0"/>
              <w:marTop w:val="0"/>
              <w:marBottom w:val="0"/>
              <w:divBdr>
                <w:top w:val="none" w:sz="0" w:space="0" w:color="auto"/>
                <w:left w:val="none" w:sz="0" w:space="0" w:color="auto"/>
                <w:bottom w:val="none" w:sz="0" w:space="0" w:color="auto"/>
                <w:right w:val="none" w:sz="0" w:space="0" w:color="auto"/>
              </w:divBdr>
            </w:div>
            <w:div w:id="1845439383">
              <w:marLeft w:val="0"/>
              <w:marRight w:val="0"/>
              <w:marTop w:val="0"/>
              <w:marBottom w:val="0"/>
              <w:divBdr>
                <w:top w:val="none" w:sz="0" w:space="0" w:color="auto"/>
                <w:left w:val="none" w:sz="0" w:space="0" w:color="auto"/>
                <w:bottom w:val="none" w:sz="0" w:space="0" w:color="auto"/>
                <w:right w:val="none" w:sz="0" w:space="0" w:color="auto"/>
              </w:divBdr>
              <w:divsChild>
                <w:div w:id="609435785">
                  <w:marLeft w:val="0"/>
                  <w:marRight w:val="0"/>
                  <w:marTop w:val="0"/>
                  <w:marBottom w:val="0"/>
                  <w:divBdr>
                    <w:top w:val="none" w:sz="0" w:space="0" w:color="auto"/>
                    <w:left w:val="none" w:sz="0" w:space="0" w:color="auto"/>
                    <w:bottom w:val="none" w:sz="0" w:space="0" w:color="auto"/>
                    <w:right w:val="none" w:sz="0" w:space="0" w:color="auto"/>
                  </w:divBdr>
                </w:div>
              </w:divsChild>
            </w:div>
            <w:div w:id="13611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0964">
      <w:bodyDiv w:val="1"/>
      <w:marLeft w:val="0"/>
      <w:marRight w:val="0"/>
      <w:marTop w:val="0"/>
      <w:marBottom w:val="0"/>
      <w:divBdr>
        <w:top w:val="none" w:sz="0" w:space="0" w:color="auto"/>
        <w:left w:val="none" w:sz="0" w:space="0" w:color="auto"/>
        <w:bottom w:val="none" w:sz="0" w:space="0" w:color="auto"/>
        <w:right w:val="none" w:sz="0" w:space="0" w:color="auto"/>
      </w:divBdr>
      <w:divsChild>
        <w:div w:id="300035943">
          <w:marLeft w:val="0"/>
          <w:marRight w:val="0"/>
          <w:marTop w:val="0"/>
          <w:marBottom w:val="0"/>
          <w:divBdr>
            <w:top w:val="none" w:sz="0" w:space="0" w:color="auto"/>
            <w:left w:val="none" w:sz="0" w:space="0" w:color="auto"/>
            <w:bottom w:val="none" w:sz="0" w:space="0" w:color="auto"/>
            <w:right w:val="none" w:sz="0" w:space="0" w:color="auto"/>
          </w:divBdr>
          <w:divsChild>
            <w:div w:id="17814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865">
      <w:bodyDiv w:val="1"/>
      <w:marLeft w:val="0"/>
      <w:marRight w:val="0"/>
      <w:marTop w:val="0"/>
      <w:marBottom w:val="0"/>
      <w:divBdr>
        <w:top w:val="none" w:sz="0" w:space="0" w:color="auto"/>
        <w:left w:val="none" w:sz="0" w:space="0" w:color="auto"/>
        <w:bottom w:val="none" w:sz="0" w:space="0" w:color="auto"/>
        <w:right w:val="none" w:sz="0" w:space="0" w:color="auto"/>
      </w:divBdr>
      <w:divsChild>
        <w:div w:id="70129793">
          <w:marLeft w:val="0"/>
          <w:marRight w:val="0"/>
          <w:marTop w:val="0"/>
          <w:marBottom w:val="0"/>
          <w:divBdr>
            <w:top w:val="none" w:sz="0" w:space="0" w:color="auto"/>
            <w:left w:val="none" w:sz="0" w:space="0" w:color="auto"/>
            <w:bottom w:val="none" w:sz="0" w:space="0" w:color="auto"/>
            <w:right w:val="none" w:sz="0" w:space="0" w:color="auto"/>
          </w:divBdr>
          <w:divsChild>
            <w:div w:id="1562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1143">
      <w:bodyDiv w:val="1"/>
      <w:marLeft w:val="0"/>
      <w:marRight w:val="0"/>
      <w:marTop w:val="0"/>
      <w:marBottom w:val="0"/>
      <w:divBdr>
        <w:top w:val="none" w:sz="0" w:space="0" w:color="auto"/>
        <w:left w:val="none" w:sz="0" w:space="0" w:color="auto"/>
        <w:bottom w:val="none" w:sz="0" w:space="0" w:color="auto"/>
        <w:right w:val="none" w:sz="0" w:space="0" w:color="auto"/>
      </w:divBdr>
      <w:divsChild>
        <w:div w:id="1897661868">
          <w:marLeft w:val="0"/>
          <w:marRight w:val="0"/>
          <w:marTop w:val="0"/>
          <w:marBottom w:val="0"/>
          <w:divBdr>
            <w:top w:val="none" w:sz="0" w:space="0" w:color="auto"/>
            <w:left w:val="none" w:sz="0" w:space="0" w:color="auto"/>
            <w:bottom w:val="none" w:sz="0" w:space="0" w:color="auto"/>
            <w:right w:val="none" w:sz="0" w:space="0" w:color="auto"/>
          </w:divBdr>
          <w:divsChild>
            <w:div w:id="1829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036">
      <w:bodyDiv w:val="1"/>
      <w:marLeft w:val="0"/>
      <w:marRight w:val="0"/>
      <w:marTop w:val="0"/>
      <w:marBottom w:val="0"/>
      <w:divBdr>
        <w:top w:val="none" w:sz="0" w:space="0" w:color="auto"/>
        <w:left w:val="none" w:sz="0" w:space="0" w:color="auto"/>
        <w:bottom w:val="none" w:sz="0" w:space="0" w:color="auto"/>
        <w:right w:val="none" w:sz="0" w:space="0" w:color="auto"/>
      </w:divBdr>
      <w:divsChild>
        <w:div w:id="2102725290">
          <w:marLeft w:val="0"/>
          <w:marRight w:val="0"/>
          <w:marTop w:val="0"/>
          <w:marBottom w:val="0"/>
          <w:divBdr>
            <w:top w:val="none" w:sz="0" w:space="0" w:color="auto"/>
            <w:left w:val="none" w:sz="0" w:space="0" w:color="auto"/>
            <w:bottom w:val="none" w:sz="0" w:space="0" w:color="auto"/>
            <w:right w:val="none" w:sz="0" w:space="0" w:color="auto"/>
          </w:divBdr>
          <w:divsChild>
            <w:div w:id="18337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563">
      <w:bodyDiv w:val="1"/>
      <w:marLeft w:val="0"/>
      <w:marRight w:val="0"/>
      <w:marTop w:val="0"/>
      <w:marBottom w:val="0"/>
      <w:divBdr>
        <w:top w:val="none" w:sz="0" w:space="0" w:color="auto"/>
        <w:left w:val="none" w:sz="0" w:space="0" w:color="auto"/>
        <w:bottom w:val="none" w:sz="0" w:space="0" w:color="auto"/>
        <w:right w:val="none" w:sz="0" w:space="0" w:color="auto"/>
      </w:divBdr>
      <w:divsChild>
        <w:div w:id="117650073">
          <w:marLeft w:val="0"/>
          <w:marRight w:val="0"/>
          <w:marTop w:val="0"/>
          <w:marBottom w:val="0"/>
          <w:divBdr>
            <w:top w:val="none" w:sz="0" w:space="0" w:color="auto"/>
            <w:left w:val="none" w:sz="0" w:space="0" w:color="auto"/>
            <w:bottom w:val="none" w:sz="0" w:space="0" w:color="auto"/>
            <w:right w:val="none" w:sz="0" w:space="0" w:color="auto"/>
          </w:divBdr>
          <w:divsChild>
            <w:div w:id="9572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066">
      <w:bodyDiv w:val="1"/>
      <w:marLeft w:val="0"/>
      <w:marRight w:val="0"/>
      <w:marTop w:val="0"/>
      <w:marBottom w:val="0"/>
      <w:divBdr>
        <w:top w:val="none" w:sz="0" w:space="0" w:color="auto"/>
        <w:left w:val="none" w:sz="0" w:space="0" w:color="auto"/>
        <w:bottom w:val="none" w:sz="0" w:space="0" w:color="auto"/>
        <w:right w:val="none" w:sz="0" w:space="0" w:color="auto"/>
      </w:divBdr>
    </w:div>
    <w:div w:id="756294642">
      <w:bodyDiv w:val="1"/>
      <w:marLeft w:val="0"/>
      <w:marRight w:val="0"/>
      <w:marTop w:val="0"/>
      <w:marBottom w:val="0"/>
      <w:divBdr>
        <w:top w:val="none" w:sz="0" w:space="0" w:color="auto"/>
        <w:left w:val="none" w:sz="0" w:space="0" w:color="auto"/>
        <w:bottom w:val="none" w:sz="0" w:space="0" w:color="auto"/>
        <w:right w:val="none" w:sz="0" w:space="0" w:color="auto"/>
      </w:divBdr>
      <w:divsChild>
        <w:div w:id="1370766185">
          <w:marLeft w:val="336"/>
          <w:marRight w:val="0"/>
          <w:marTop w:val="120"/>
          <w:marBottom w:val="312"/>
          <w:divBdr>
            <w:top w:val="none" w:sz="0" w:space="0" w:color="auto"/>
            <w:left w:val="none" w:sz="0" w:space="0" w:color="auto"/>
            <w:bottom w:val="none" w:sz="0" w:space="0" w:color="auto"/>
            <w:right w:val="none" w:sz="0" w:space="0" w:color="auto"/>
          </w:divBdr>
          <w:divsChild>
            <w:div w:id="1340617647">
              <w:marLeft w:val="0"/>
              <w:marRight w:val="0"/>
              <w:marTop w:val="0"/>
              <w:marBottom w:val="0"/>
              <w:divBdr>
                <w:top w:val="single" w:sz="6" w:space="0" w:color="CCCCCC"/>
                <w:left w:val="single" w:sz="6" w:space="0" w:color="CCCCCC"/>
                <w:bottom w:val="single" w:sz="6" w:space="0" w:color="CCCCCC"/>
                <w:right w:val="single" w:sz="6" w:space="0" w:color="CCCCCC"/>
              </w:divBdr>
              <w:divsChild>
                <w:div w:id="252863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1004">
      <w:bodyDiv w:val="1"/>
      <w:marLeft w:val="0"/>
      <w:marRight w:val="0"/>
      <w:marTop w:val="0"/>
      <w:marBottom w:val="0"/>
      <w:divBdr>
        <w:top w:val="none" w:sz="0" w:space="0" w:color="auto"/>
        <w:left w:val="none" w:sz="0" w:space="0" w:color="auto"/>
        <w:bottom w:val="none" w:sz="0" w:space="0" w:color="auto"/>
        <w:right w:val="none" w:sz="0" w:space="0" w:color="auto"/>
      </w:divBdr>
      <w:divsChild>
        <w:div w:id="858589870">
          <w:marLeft w:val="0"/>
          <w:marRight w:val="0"/>
          <w:marTop w:val="0"/>
          <w:marBottom w:val="0"/>
          <w:divBdr>
            <w:top w:val="none" w:sz="0" w:space="0" w:color="auto"/>
            <w:left w:val="none" w:sz="0" w:space="0" w:color="auto"/>
            <w:bottom w:val="none" w:sz="0" w:space="0" w:color="auto"/>
            <w:right w:val="none" w:sz="0" w:space="0" w:color="auto"/>
          </w:divBdr>
          <w:divsChild>
            <w:div w:id="4862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2692">
      <w:bodyDiv w:val="1"/>
      <w:marLeft w:val="0"/>
      <w:marRight w:val="0"/>
      <w:marTop w:val="0"/>
      <w:marBottom w:val="0"/>
      <w:divBdr>
        <w:top w:val="none" w:sz="0" w:space="0" w:color="auto"/>
        <w:left w:val="none" w:sz="0" w:space="0" w:color="auto"/>
        <w:bottom w:val="none" w:sz="0" w:space="0" w:color="auto"/>
        <w:right w:val="none" w:sz="0" w:space="0" w:color="auto"/>
      </w:divBdr>
      <w:divsChild>
        <w:div w:id="855190677">
          <w:marLeft w:val="0"/>
          <w:marRight w:val="0"/>
          <w:marTop w:val="240"/>
          <w:marBottom w:val="0"/>
          <w:divBdr>
            <w:top w:val="none" w:sz="0" w:space="0" w:color="auto"/>
            <w:left w:val="none" w:sz="0" w:space="0" w:color="auto"/>
            <w:bottom w:val="none" w:sz="0" w:space="0" w:color="auto"/>
            <w:right w:val="none" w:sz="0" w:space="0" w:color="auto"/>
          </w:divBdr>
          <w:divsChild>
            <w:div w:id="1133644675">
              <w:marLeft w:val="0"/>
              <w:marRight w:val="0"/>
              <w:marTop w:val="0"/>
              <w:marBottom w:val="0"/>
              <w:divBdr>
                <w:top w:val="none" w:sz="0" w:space="0" w:color="auto"/>
                <w:left w:val="none" w:sz="0" w:space="0" w:color="auto"/>
                <w:bottom w:val="none" w:sz="0" w:space="0" w:color="auto"/>
                <w:right w:val="none" w:sz="0" w:space="0" w:color="auto"/>
              </w:divBdr>
            </w:div>
          </w:divsChild>
        </w:div>
        <w:div w:id="1457871613">
          <w:marLeft w:val="0"/>
          <w:marRight w:val="0"/>
          <w:marTop w:val="240"/>
          <w:marBottom w:val="0"/>
          <w:divBdr>
            <w:top w:val="none" w:sz="0" w:space="0" w:color="auto"/>
            <w:left w:val="none" w:sz="0" w:space="0" w:color="auto"/>
            <w:bottom w:val="none" w:sz="0" w:space="0" w:color="auto"/>
            <w:right w:val="none" w:sz="0" w:space="0" w:color="auto"/>
          </w:divBdr>
          <w:divsChild>
            <w:div w:id="1513883174">
              <w:marLeft w:val="0"/>
              <w:marRight w:val="0"/>
              <w:marTop w:val="0"/>
              <w:marBottom w:val="0"/>
              <w:divBdr>
                <w:top w:val="none" w:sz="0" w:space="0" w:color="auto"/>
                <w:left w:val="none" w:sz="0" w:space="0" w:color="auto"/>
                <w:bottom w:val="none" w:sz="0" w:space="0" w:color="auto"/>
                <w:right w:val="none" w:sz="0" w:space="0" w:color="auto"/>
              </w:divBdr>
            </w:div>
          </w:divsChild>
        </w:div>
        <w:div w:id="481119324">
          <w:marLeft w:val="0"/>
          <w:marRight w:val="0"/>
          <w:marTop w:val="240"/>
          <w:marBottom w:val="0"/>
          <w:divBdr>
            <w:top w:val="none" w:sz="0" w:space="0" w:color="auto"/>
            <w:left w:val="none" w:sz="0" w:space="0" w:color="auto"/>
            <w:bottom w:val="none" w:sz="0" w:space="0" w:color="auto"/>
            <w:right w:val="none" w:sz="0" w:space="0" w:color="auto"/>
          </w:divBdr>
          <w:divsChild>
            <w:div w:id="1200437499">
              <w:marLeft w:val="0"/>
              <w:marRight w:val="0"/>
              <w:marTop w:val="0"/>
              <w:marBottom w:val="0"/>
              <w:divBdr>
                <w:top w:val="none" w:sz="0" w:space="0" w:color="auto"/>
                <w:left w:val="none" w:sz="0" w:space="0" w:color="auto"/>
                <w:bottom w:val="none" w:sz="0" w:space="0" w:color="auto"/>
                <w:right w:val="none" w:sz="0" w:space="0" w:color="auto"/>
              </w:divBdr>
            </w:div>
          </w:divsChild>
        </w:div>
        <w:div w:id="2144344300">
          <w:marLeft w:val="0"/>
          <w:marRight w:val="0"/>
          <w:marTop w:val="240"/>
          <w:marBottom w:val="0"/>
          <w:divBdr>
            <w:top w:val="none" w:sz="0" w:space="0" w:color="auto"/>
            <w:left w:val="none" w:sz="0" w:space="0" w:color="auto"/>
            <w:bottom w:val="none" w:sz="0" w:space="0" w:color="auto"/>
            <w:right w:val="none" w:sz="0" w:space="0" w:color="auto"/>
          </w:divBdr>
          <w:divsChild>
            <w:div w:id="147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043">
      <w:bodyDiv w:val="1"/>
      <w:marLeft w:val="0"/>
      <w:marRight w:val="0"/>
      <w:marTop w:val="0"/>
      <w:marBottom w:val="0"/>
      <w:divBdr>
        <w:top w:val="none" w:sz="0" w:space="0" w:color="auto"/>
        <w:left w:val="none" w:sz="0" w:space="0" w:color="auto"/>
        <w:bottom w:val="none" w:sz="0" w:space="0" w:color="auto"/>
        <w:right w:val="none" w:sz="0" w:space="0" w:color="auto"/>
      </w:divBdr>
    </w:div>
    <w:div w:id="862481128">
      <w:bodyDiv w:val="1"/>
      <w:marLeft w:val="0"/>
      <w:marRight w:val="0"/>
      <w:marTop w:val="0"/>
      <w:marBottom w:val="0"/>
      <w:divBdr>
        <w:top w:val="none" w:sz="0" w:space="0" w:color="auto"/>
        <w:left w:val="none" w:sz="0" w:space="0" w:color="auto"/>
        <w:bottom w:val="none" w:sz="0" w:space="0" w:color="auto"/>
        <w:right w:val="none" w:sz="0" w:space="0" w:color="auto"/>
      </w:divBdr>
      <w:divsChild>
        <w:div w:id="1635670210">
          <w:marLeft w:val="0"/>
          <w:marRight w:val="0"/>
          <w:marTop w:val="0"/>
          <w:marBottom w:val="0"/>
          <w:divBdr>
            <w:top w:val="none" w:sz="0" w:space="0" w:color="auto"/>
            <w:left w:val="none" w:sz="0" w:space="0" w:color="auto"/>
            <w:bottom w:val="none" w:sz="0" w:space="0" w:color="auto"/>
            <w:right w:val="none" w:sz="0" w:space="0" w:color="auto"/>
          </w:divBdr>
          <w:divsChild>
            <w:div w:id="861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414">
      <w:bodyDiv w:val="1"/>
      <w:marLeft w:val="0"/>
      <w:marRight w:val="0"/>
      <w:marTop w:val="0"/>
      <w:marBottom w:val="0"/>
      <w:divBdr>
        <w:top w:val="none" w:sz="0" w:space="0" w:color="auto"/>
        <w:left w:val="none" w:sz="0" w:space="0" w:color="auto"/>
        <w:bottom w:val="none" w:sz="0" w:space="0" w:color="auto"/>
        <w:right w:val="none" w:sz="0" w:space="0" w:color="auto"/>
      </w:divBdr>
      <w:divsChild>
        <w:div w:id="881209128">
          <w:marLeft w:val="0"/>
          <w:marRight w:val="0"/>
          <w:marTop w:val="0"/>
          <w:marBottom w:val="0"/>
          <w:divBdr>
            <w:top w:val="none" w:sz="0" w:space="0" w:color="auto"/>
            <w:left w:val="none" w:sz="0" w:space="0" w:color="auto"/>
            <w:bottom w:val="none" w:sz="0" w:space="0" w:color="auto"/>
            <w:right w:val="none" w:sz="0" w:space="0" w:color="auto"/>
          </w:divBdr>
          <w:divsChild>
            <w:div w:id="276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536">
      <w:bodyDiv w:val="1"/>
      <w:marLeft w:val="0"/>
      <w:marRight w:val="0"/>
      <w:marTop w:val="0"/>
      <w:marBottom w:val="0"/>
      <w:divBdr>
        <w:top w:val="none" w:sz="0" w:space="0" w:color="auto"/>
        <w:left w:val="none" w:sz="0" w:space="0" w:color="auto"/>
        <w:bottom w:val="none" w:sz="0" w:space="0" w:color="auto"/>
        <w:right w:val="none" w:sz="0" w:space="0" w:color="auto"/>
      </w:divBdr>
      <w:divsChild>
        <w:div w:id="252132441">
          <w:marLeft w:val="0"/>
          <w:marRight w:val="0"/>
          <w:marTop w:val="0"/>
          <w:marBottom w:val="0"/>
          <w:divBdr>
            <w:top w:val="none" w:sz="0" w:space="0" w:color="auto"/>
            <w:left w:val="none" w:sz="0" w:space="0" w:color="auto"/>
            <w:bottom w:val="none" w:sz="0" w:space="0" w:color="auto"/>
            <w:right w:val="none" w:sz="0" w:space="0" w:color="auto"/>
          </w:divBdr>
          <w:divsChild>
            <w:div w:id="3602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498">
      <w:bodyDiv w:val="1"/>
      <w:marLeft w:val="0"/>
      <w:marRight w:val="0"/>
      <w:marTop w:val="0"/>
      <w:marBottom w:val="0"/>
      <w:divBdr>
        <w:top w:val="none" w:sz="0" w:space="0" w:color="auto"/>
        <w:left w:val="none" w:sz="0" w:space="0" w:color="auto"/>
        <w:bottom w:val="none" w:sz="0" w:space="0" w:color="auto"/>
        <w:right w:val="none" w:sz="0" w:space="0" w:color="auto"/>
      </w:divBdr>
      <w:divsChild>
        <w:div w:id="1507550793">
          <w:marLeft w:val="0"/>
          <w:marRight w:val="0"/>
          <w:marTop w:val="0"/>
          <w:marBottom w:val="0"/>
          <w:divBdr>
            <w:top w:val="none" w:sz="0" w:space="0" w:color="auto"/>
            <w:left w:val="none" w:sz="0" w:space="0" w:color="auto"/>
            <w:bottom w:val="none" w:sz="0" w:space="0" w:color="auto"/>
            <w:right w:val="none" w:sz="0" w:space="0" w:color="auto"/>
          </w:divBdr>
          <w:divsChild>
            <w:div w:id="3707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06">
      <w:bodyDiv w:val="1"/>
      <w:marLeft w:val="0"/>
      <w:marRight w:val="0"/>
      <w:marTop w:val="0"/>
      <w:marBottom w:val="0"/>
      <w:divBdr>
        <w:top w:val="none" w:sz="0" w:space="0" w:color="auto"/>
        <w:left w:val="none" w:sz="0" w:space="0" w:color="auto"/>
        <w:bottom w:val="none" w:sz="0" w:space="0" w:color="auto"/>
        <w:right w:val="none" w:sz="0" w:space="0" w:color="auto"/>
      </w:divBdr>
    </w:div>
    <w:div w:id="988829904">
      <w:bodyDiv w:val="1"/>
      <w:marLeft w:val="0"/>
      <w:marRight w:val="0"/>
      <w:marTop w:val="0"/>
      <w:marBottom w:val="0"/>
      <w:divBdr>
        <w:top w:val="none" w:sz="0" w:space="0" w:color="auto"/>
        <w:left w:val="none" w:sz="0" w:space="0" w:color="auto"/>
        <w:bottom w:val="none" w:sz="0" w:space="0" w:color="auto"/>
        <w:right w:val="none" w:sz="0" w:space="0" w:color="auto"/>
      </w:divBdr>
    </w:div>
    <w:div w:id="1017343744">
      <w:bodyDiv w:val="1"/>
      <w:marLeft w:val="0"/>
      <w:marRight w:val="0"/>
      <w:marTop w:val="0"/>
      <w:marBottom w:val="0"/>
      <w:divBdr>
        <w:top w:val="none" w:sz="0" w:space="0" w:color="auto"/>
        <w:left w:val="none" w:sz="0" w:space="0" w:color="auto"/>
        <w:bottom w:val="none" w:sz="0" w:space="0" w:color="auto"/>
        <w:right w:val="none" w:sz="0" w:space="0" w:color="auto"/>
      </w:divBdr>
    </w:div>
    <w:div w:id="1107581495">
      <w:bodyDiv w:val="1"/>
      <w:marLeft w:val="0"/>
      <w:marRight w:val="0"/>
      <w:marTop w:val="0"/>
      <w:marBottom w:val="0"/>
      <w:divBdr>
        <w:top w:val="none" w:sz="0" w:space="0" w:color="auto"/>
        <w:left w:val="none" w:sz="0" w:space="0" w:color="auto"/>
        <w:bottom w:val="none" w:sz="0" w:space="0" w:color="auto"/>
        <w:right w:val="none" w:sz="0" w:space="0" w:color="auto"/>
      </w:divBdr>
      <w:divsChild>
        <w:div w:id="603196872">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956">
      <w:bodyDiv w:val="1"/>
      <w:marLeft w:val="0"/>
      <w:marRight w:val="0"/>
      <w:marTop w:val="0"/>
      <w:marBottom w:val="0"/>
      <w:divBdr>
        <w:top w:val="none" w:sz="0" w:space="0" w:color="auto"/>
        <w:left w:val="none" w:sz="0" w:space="0" w:color="auto"/>
        <w:bottom w:val="none" w:sz="0" w:space="0" w:color="auto"/>
        <w:right w:val="none" w:sz="0" w:space="0" w:color="auto"/>
      </w:divBdr>
    </w:div>
    <w:div w:id="1197037841">
      <w:bodyDiv w:val="1"/>
      <w:marLeft w:val="0"/>
      <w:marRight w:val="0"/>
      <w:marTop w:val="0"/>
      <w:marBottom w:val="0"/>
      <w:divBdr>
        <w:top w:val="none" w:sz="0" w:space="0" w:color="auto"/>
        <w:left w:val="none" w:sz="0" w:space="0" w:color="auto"/>
        <w:bottom w:val="none" w:sz="0" w:space="0" w:color="auto"/>
        <w:right w:val="none" w:sz="0" w:space="0" w:color="auto"/>
      </w:divBdr>
    </w:div>
    <w:div w:id="1281760693">
      <w:bodyDiv w:val="1"/>
      <w:marLeft w:val="0"/>
      <w:marRight w:val="0"/>
      <w:marTop w:val="0"/>
      <w:marBottom w:val="0"/>
      <w:divBdr>
        <w:top w:val="none" w:sz="0" w:space="0" w:color="auto"/>
        <w:left w:val="none" w:sz="0" w:space="0" w:color="auto"/>
        <w:bottom w:val="none" w:sz="0" w:space="0" w:color="auto"/>
        <w:right w:val="none" w:sz="0" w:space="0" w:color="auto"/>
      </w:divBdr>
    </w:div>
    <w:div w:id="1286809812">
      <w:bodyDiv w:val="1"/>
      <w:marLeft w:val="0"/>
      <w:marRight w:val="0"/>
      <w:marTop w:val="0"/>
      <w:marBottom w:val="0"/>
      <w:divBdr>
        <w:top w:val="none" w:sz="0" w:space="0" w:color="auto"/>
        <w:left w:val="none" w:sz="0" w:space="0" w:color="auto"/>
        <w:bottom w:val="none" w:sz="0" w:space="0" w:color="auto"/>
        <w:right w:val="none" w:sz="0" w:space="0" w:color="auto"/>
      </w:divBdr>
      <w:divsChild>
        <w:div w:id="267323241">
          <w:marLeft w:val="0"/>
          <w:marRight w:val="0"/>
          <w:marTop w:val="0"/>
          <w:marBottom w:val="0"/>
          <w:divBdr>
            <w:top w:val="none" w:sz="0" w:space="0" w:color="auto"/>
            <w:left w:val="none" w:sz="0" w:space="0" w:color="auto"/>
            <w:bottom w:val="none" w:sz="0" w:space="0" w:color="auto"/>
            <w:right w:val="none" w:sz="0" w:space="0" w:color="auto"/>
          </w:divBdr>
          <w:divsChild>
            <w:div w:id="8592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152">
      <w:bodyDiv w:val="1"/>
      <w:marLeft w:val="0"/>
      <w:marRight w:val="0"/>
      <w:marTop w:val="0"/>
      <w:marBottom w:val="0"/>
      <w:divBdr>
        <w:top w:val="none" w:sz="0" w:space="0" w:color="auto"/>
        <w:left w:val="none" w:sz="0" w:space="0" w:color="auto"/>
        <w:bottom w:val="none" w:sz="0" w:space="0" w:color="auto"/>
        <w:right w:val="none" w:sz="0" w:space="0" w:color="auto"/>
      </w:divBdr>
      <w:divsChild>
        <w:div w:id="759836824">
          <w:marLeft w:val="0"/>
          <w:marRight w:val="0"/>
          <w:marTop w:val="0"/>
          <w:marBottom w:val="0"/>
          <w:divBdr>
            <w:top w:val="none" w:sz="0" w:space="0" w:color="auto"/>
            <w:left w:val="none" w:sz="0" w:space="0" w:color="auto"/>
            <w:bottom w:val="none" w:sz="0" w:space="0" w:color="auto"/>
            <w:right w:val="none" w:sz="0" w:space="0" w:color="auto"/>
          </w:divBdr>
          <w:divsChild>
            <w:div w:id="1049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110">
      <w:bodyDiv w:val="1"/>
      <w:marLeft w:val="0"/>
      <w:marRight w:val="0"/>
      <w:marTop w:val="0"/>
      <w:marBottom w:val="0"/>
      <w:divBdr>
        <w:top w:val="none" w:sz="0" w:space="0" w:color="auto"/>
        <w:left w:val="none" w:sz="0" w:space="0" w:color="auto"/>
        <w:bottom w:val="none" w:sz="0" w:space="0" w:color="auto"/>
        <w:right w:val="none" w:sz="0" w:space="0" w:color="auto"/>
      </w:divBdr>
    </w:div>
    <w:div w:id="1358701077">
      <w:bodyDiv w:val="1"/>
      <w:marLeft w:val="0"/>
      <w:marRight w:val="0"/>
      <w:marTop w:val="0"/>
      <w:marBottom w:val="0"/>
      <w:divBdr>
        <w:top w:val="none" w:sz="0" w:space="0" w:color="auto"/>
        <w:left w:val="none" w:sz="0" w:space="0" w:color="auto"/>
        <w:bottom w:val="none" w:sz="0" w:space="0" w:color="auto"/>
        <w:right w:val="none" w:sz="0" w:space="0" w:color="auto"/>
      </w:divBdr>
      <w:divsChild>
        <w:div w:id="1353261854">
          <w:marLeft w:val="0"/>
          <w:marRight w:val="0"/>
          <w:marTop w:val="0"/>
          <w:marBottom w:val="0"/>
          <w:divBdr>
            <w:top w:val="none" w:sz="0" w:space="0" w:color="auto"/>
            <w:left w:val="none" w:sz="0" w:space="0" w:color="auto"/>
            <w:bottom w:val="none" w:sz="0" w:space="0" w:color="auto"/>
            <w:right w:val="none" w:sz="0" w:space="0" w:color="auto"/>
          </w:divBdr>
          <w:divsChild>
            <w:div w:id="63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2832">
      <w:bodyDiv w:val="1"/>
      <w:marLeft w:val="0"/>
      <w:marRight w:val="0"/>
      <w:marTop w:val="0"/>
      <w:marBottom w:val="0"/>
      <w:divBdr>
        <w:top w:val="none" w:sz="0" w:space="0" w:color="auto"/>
        <w:left w:val="none" w:sz="0" w:space="0" w:color="auto"/>
        <w:bottom w:val="none" w:sz="0" w:space="0" w:color="auto"/>
        <w:right w:val="none" w:sz="0" w:space="0" w:color="auto"/>
      </w:divBdr>
    </w:div>
    <w:div w:id="1428383889">
      <w:bodyDiv w:val="1"/>
      <w:marLeft w:val="0"/>
      <w:marRight w:val="0"/>
      <w:marTop w:val="0"/>
      <w:marBottom w:val="0"/>
      <w:divBdr>
        <w:top w:val="none" w:sz="0" w:space="0" w:color="auto"/>
        <w:left w:val="none" w:sz="0" w:space="0" w:color="auto"/>
        <w:bottom w:val="none" w:sz="0" w:space="0" w:color="auto"/>
        <w:right w:val="none" w:sz="0" w:space="0" w:color="auto"/>
      </w:divBdr>
      <w:divsChild>
        <w:div w:id="256212239">
          <w:marLeft w:val="0"/>
          <w:marRight w:val="0"/>
          <w:marTop w:val="0"/>
          <w:marBottom w:val="0"/>
          <w:divBdr>
            <w:top w:val="single" w:sz="6" w:space="2" w:color="E2E2E2"/>
            <w:left w:val="none" w:sz="0" w:space="0" w:color="auto"/>
            <w:bottom w:val="none" w:sz="0" w:space="0" w:color="auto"/>
            <w:right w:val="none" w:sz="0" w:space="0" w:color="auto"/>
          </w:divBdr>
        </w:div>
      </w:divsChild>
    </w:div>
    <w:div w:id="1449622887">
      <w:bodyDiv w:val="1"/>
      <w:marLeft w:val="0"/>
      <w:marRight w:val="0"/>
      <w:marTop w:val="0"/>
      <w:marBottom w:val="0"/>
      <w:divBdr>
        <w:top w:val="none" w:sz="0" w:space="0" w:color="auto"/>
        <w:left w:val="none" w:sz="0" w:space="0" w:color="auto"/>
        <w:bottom w:val="none" w:sz="0" w:space="0" w:color="auto"/>
        <w:right w:val="none" w:sz="0" w:space="0" w:color="auto"/>
      </w:divBdr>
    </w:div>
    <w:div w:id="1474904418">
      <w:bodyDiv w:val="1"/>
      <w:marLeft w:val="0"/>
      <w:marRight w:val="0"/>
      <w:marTop w:val="0"/>
      <w:marBottom w:val="0"/>
      <w:divBdr>
        <w:top w:val="none" w:sz="0" w:space="0" w:color="auto"/>
        <w:left w:val="none" w:sz="0" w:space="0" w:color="auto"/>
        <w:bottom w:val="none" w:sz="0" w:space="0" w:color="auto"/>
        <w:right w:val="none" w:sz="0" w:space="0" w:color="auto"/>
      </w:divBdr>
      <w:divsChild>
        <w:div w:id="633024123">
          <w:marLeft w:val="0"/>
          <w:marRight w:val="0"/>
          <w:marTop w:val="240"/>
          <w:marBottom w:val="0"/>
          <w:divBdr>
            <w:top w:val="none" w:sz="0" w:space="0" w:color="auto"/>
            <w:left w:val="none" w:sz="0" w:space="0" w:color="auto"/>
            <w:bottom w:val="none" w:sz="0" w:space="0" w:color="auto"/>
            <w:right w:val="none" w:sz="0" w:space="0" w:color="auto"/>
          </w:divBdr>
          <w:divsChild>
            <w:div w:id="152255877">
              <w:marLeft w:val="0"/>
              <w:marRight w:val="0"/>
              <w:marTop w:val="240"/>
              <w:marBottom w:val="0"/>
              <w:divBdr>
                <w:top w:val="none" w:sz="0" w:space="0" w:color="auto"/>
                <w:left w:val="none" w:sz="0" w:space="0" w:color="auto"/>
                <w:bottom w:val="none" w:sz="0" w:space="0" w:color="auto"/>
                <w:right w:val="none" w:sz="0" w:space="0" w:color="auto"/>
              </w:divBdr>
            </w:div>
          </w:divsChild>
        </w:div>
        <w:div w:id="940990090">
          <w:marLeft w:val="0"/>
          <w:marRight w:val="0"/>
          <w:marTop w:val="240"/>
          <w:marBottom w:val="0"/>
          <w:divBdr>
            <w:top w:val="none" w:sz="0" w:space="0" w:color="auto"/>
            <w:left w:val="none" w:sz="0" w:space="0" w:color="auto"/>
            <w:bottom w:val="none" w:sz="0" w:space="0" w:color="auto"/>
            <w:right w:val="none" w:sz="0" w:space="0" w:color="auto"/>
          </w:divBdr>
        </w:div>
        <w:div w:id="2071028665">
          <w:marLeft w:val="0"/>
          <w:marRight w:val="0"/>
          <w:marTop w:val="240"/>
          <w:marBottom w:val="0"/>
          <w:divBdr>
            <w:top w:val="none" w:sz="0" w:space="0" w:color="auto"/>
            <w:left w:val="none" w:sz="0" w:space="0" w:color="auto"/>
            <w:bottom w:val="none" w:sz="0" w:space="0" w:color="auto"/>
            <w:right w:val="none" w:sz="0" w:space="0" w:color="auto"/>
          </w:divBdr>
        </w:div>
        <w:div w:id="1196309264">
          <w:marLeft w:val="0"/>
          <w:marRight w:val="0"/>
          <w:marTop w:val="240"/>
          <w:marBottom w:val="240"/>
          <w:divBdr>
            <w:top w:val="none" w:sz="0" w:space="0" w:color="auto"/>
            <w:left w:val="none" w:sz="0" w:space="0" w:color="auto"/>
            <w:bottom w:val="none" w:sz="0" w:space="0" w:color="auto"/>
            <w:right w:val="none" w:sz="0" w:space="0" w:color="auto"/>
          </w:divBdr>
        </w:div>
        <w:div w:id="1664357396">
          <w:marLeft w:val="0"/>
          <w:marRight w:val="0"/>
          <w:marTop w:val="240"/>
          <w:marBottom w:val="240"/>
          <w:divBdr>
            <w:top w:val="none" w:sz="0" w:space="0" w:color="auto"/>
            <w:left w:val="none" w:sz="0" w:space="0" w:color="auto"/>
            <w:bottom w:val="none" w:sz="0" w:space="0" w:color="auto"/>
            <w:right w:val="none" w:sz="0" w:space="0" w:color="auto"/>
          </w:divBdr>
        </w:div>
      </w:divsChild>
    </w:div>
    <w:div w:id="1478262402">
      <w:bodyDiv w:val="1"/>
      <w:marLeft w:val="0"/>
      <w:marRight w:val="0"/>
      <w:marTop w:val="0"/>
      <w:marBottom w:val="0"/>
      <w:divBdr>
        <w:top w:val="none" w:sz="0" w:space="0" w:color="auto"/>
        <w:left w:val="none" w:sz="0" w:space="0" w:color="auto"/>
        <w:bottom w:val="none" w:sz="0" w:space="0" w:color="auto"/>
        <w:right w:val="none" w:sz="0" w:space="0" w:color="auto"/>
      </w:divBdr>
    </w:div>
    <w:div w:id="1567884605">
      <w:bodyDiv w:val="1"/>
      <w:marLeft w:val="0"/>
      <w:marRight w:val="0"/>
      <w:marTop w:val="0"/>
      <w:marBottom w:val="0"/>
      <w:divBdr>
        <w:top w:val="none" w:sz="0" w:space="0" w:color="auto"/>
        <w:left w:val="none" w:sz="0" w:space="0" w:color="auto"/>
        <w:bottom w:val="none" w:sz="0" w:space="0" w:color="auto"/>
        <w:right w:val="none" w:sz="0" w:space="0" w:color="auto"/>
      </w:divBdr>
      <w:divsChild>
        <w:div w:id="855727840">
          <w:marLeft w:val="0"/>
          <w:marRight w:val="0"/>
          <w:marTop w:val="0"/>
          <w:marBottom w:val="0"/>
          <w:divBdr>
            <w:top w:val="none" w:sz="0" w:space="0" w:color="auto"/>
            <w:left w:val="none" w:sz="0" w:space="0" w:color="auto"/>
            <w:bottom w:val="none" w:sz="0" w:space="0" w:color="auto"/>
            <w:right w:val="none" w:sz="0" w:space="0" w:color="auto"/>
          </w:divBdr>
          <w:divsChild>
            <w:div w:id="334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2550">
      <w:bodyDiv w:val="1"/>
      <w:marLeft w:val="0"/>
      <w:marRight w:val="0"/>
      <w:marTop w:val="0"/>
      <w:marBottom w:val="0"/>
      <w:divBdr>
        <w:top w:val="none" w:sz="0" w:space="0" w:color="auto"/>
        <w:left w:val="none" w:sz="0" w:space="0" w:color="auto"/>
        <w:bottom w:val="none" w:sz="0" w:space="0" w:color="auto"/>
        <w:right w:val="none" w:sz="0" w:space="0" w:color="auto"/>
      </w:divBdr>
    </w:div>
    <w:div w:id="1648319458">
      <w:bodyDiv w:val="1"/>
      <w:marLeft w:val="0"/>
      <w:marRight w:val="0"/>
      <w:marTop w:val="0"/>
      <w:marBottom w:val="0"/>
      <w:divBdr>
        <w:top w:val="none" w:sz="0" w:space="0" w:color="auto"/>
        <w:left w:val="none" w:sz="0" w:space="0" w:color="auto"/>
        <w:bottom w:val="none" w:sz="0" w:space="0" w:color="auto"/>
        <w:right w:val="none" w:sz="0" w:space="0" w:color="auto"/>
      </w:divBdr>
    </w:div>
    <w:div w:id="1649623854">
      <w:bodyDiv w:val="1"/>
      <w:marLeft w:val="0"/>
      <w:marRight w:val="0"/>
      <w:marTop w:val="0"/>
      <w:marBottom w:val="0"/>
      <w:divBdr>
        <w:top w:val="none" w:sz="0" w:space="0" w:color="auto"/>
        <w:left w:val="none" w:sz="0" w:space="0" w:color="auto"/>
        <w:bottom w:val="none" w:sz="0" w:space="0" w:color="auto"/>
        <w:right w:val="none" w:sz="0" w:space="0" w:color="auto"/>
      </w:divBdr>
      <w:divsChild>
        <w:div w:id="815220053">
          <w:marLeft w:val="0"/>
          <w:marRight w:val="0"/>
          <w:marTop w:val="0"/>
          <w:marBottom w:val="0"/>
          <w:divBdr>
            <w:top w:val="none" w:sz="0" w:space="0" w:color="auto"/>
            <w:left w:val="none" w:sz="0" w:space="0" w:color="auto"/>
            <w:bottom w:val="none" w:sz="0" w:space="0" w:color="auto"/>
            <w:right w:val="none" w:sz="0" w:space="0" w:color="auto"/>
          </w:divBdr>
          <w:divsChild>
            <w:div w:id="1098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261">
      <w:bodyDiv w:val="1"/>
      <w:marLeft w:val="0"/>
      <w:marRight w:val="0"/>
      <w:marTop w:val="0"/>
      <w:marBottom w:val="0"/>
      <w:divBdr>
        <w:top w:val="none" w:sz="0" w:space="0" w:color="auto"/>
        <w:left w:val="none" w:sz="0" w:space="0" w:color="auto"/>
        <w:bottom w:val="none" w:sz="0" w:space="0" w:color="auto"/>
        <w:right w:val="none" w:sz="0" w:space="0" w:color="auto"/>
      </w:divBdr>
    </w:div>
    <w:div w:id="1746757316">
      <w:bodyDiv w:val="1"/>
      <w:marLeft w:val="0"/>
      <w:marRight w:val="0"/>
      <w:marTop w:val="0"/>
      <w:marBottom w:val="0"/>
      <w:divBdr>
        <w:top w:val="none" w:sz="0" w:space="0" w:color="auto"/>
        <w:left w:val="none" w:sz="0" w:space="0" w:color="auto"/>
        <w:bottom w:val="none" w:sz="0" w:space="0" w:color="auto"/>
        <w:right w:val="none" w:sz="0" w:space="0" w:color="auto"/>
      </w:divBdr>
    </w:div>
    <w:div w:id="1750810662">
      <w:bodyDiv w:val="1"/>
      <w:marLeft w:val="0"/>
      <w:marRight w:val="0"/>
      <w:marTop w:val="0"/>
      <w:marBottom w:val="0"/>
      <w:divBdr>
        <w:top w:val="none" w:sz="0" w:space="0" w:color="auto"/>
        <w:left w:val="none" w:sz="0" w:space="0" w:color="auto"/>
        <w:bottom w:val="none" w:sz="0" w:space="0" w:color="auto"/>
        <w:right w:val="none" w:sz="0" w:space="0" w:color="auto"/>
      </w:divBdr>
    </w:div>
    <w:div w:id="1785882990">
      <w:bodyDiv w:val="1"/>
      <w:marLeft w:val="0"/>
      <w:marRight w:val="0"/>
      <w:marTop w:val="0"/>
      <w:marBottom w:val="0"/>
      <w:divBdr>
        <w:top w:val="none" w:sz="0" w:space="0" w:color="auto"/>
        <w:left w:val="none" w:sz="0" w:space="0" w:color="auto"/>
        <w:bottom w:val="none" w:sz="0" w:space="0" w:color="auto"/>
        <w:right w:val="none" w:sz="0" w:space="0" w:color="auto"/>
      </w:divBdr>
      <w:divsChild>
        <w:div w:id="1069306031">
          <w:marLeft w:val="0"/>
          <w:marRight w:val="0"/>
          <w:marTop w:val="0"/>
          <w:marBottom w:val="0"/>
          <w:divBdr>
            <w:top w:val="none" w:sz="0" w:space="0" w:color="auto"/>
            <w:left w:val="none" w:sz="0" w:space="0" w:color="auto"/>
            <w:bottom w:val="none" w:sz="0" w:space="0" w:color="auto"/>
            <w:right w:val="none" w:sz="0" w:space="0" w:color="auto"/>
          </w:divBdr>
          <w:divsChild>
            <w:div w:id="253973522">
              <w:marLeft w:val="0"/>
              <w:marRight w:val="0"/>
              <w:marTop w:val="0"/>
              <w:marBottom w:val="0"/>
              <w:divBdr>
                <w:top w:val="none" w:sz="0" w:space="0" w:color="auto"/>
                <w:left w:val="none" w:sz="0" w:space="0" w:color="auto"/>
                <w:bottom w:val="none" w:sz="0" w:space="0" w:color="auto"/>
                <w:right w:val="none" w:sz="0" w:space="0" w:color="auto"/>
              </w:divBdr>
            </w:div>
            <w:div w:id="731851033">
              <w:marLeft w:val="0"/>
              <w:marRight w:val="0"/>
              <w:marTop w:val="0"/>
              <w:marBottom w:val="0"/>
              <w:divBdr>
                <w:top w:val="none" w:sz="0" w:space="0" w:color="auto"/>
                <w:left w:val="none" w:sz="0" w:space="0" w:color="auto"/>
                <w:bottom w:val="none" w:sz="0" w:space="0" w:color="auto"/>
                <w:right w:val="none" w:sz="0" w:space="0" w:color="auto"/>
              </w:divBdr>
              <w:divsChild>
                <w:div w:id="1293249708">
                  <w:marLeft w:val="0"/>
                  <w:marRight w:val="0"/>
                  <w:marTop w:val="0"/>
                  <w:marBottom w:val="0"/>
                  <w:divBdr>
                    <w:top w:val="none" w:sz="0" w:space="0" w:color="auto"/>
                    <w:left w:val="none" w:sz="0" w:space="0" w:color="auto"/>
                    <w:bottom w:val="none" w:sz="0" w:space="0" w:color="auto"/>
                    <w:right w:val="none" w:sz="0" w:space="0" w:color="auto"/>
                  </w:divBdr>
                </w:div>
              </w:divsChild>
            </w:div>
            <w:div w:id="7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4467">
      <w:bodyDiv w:val="1"/>
      <w:marLeft w:val="0"/>
      <w:marRight w:val="0"/>
      <w:marTop w:val="0"/>
      <w:marBottom w:val="0"/>
      <w:divBdr>
        <w:top w:val="none" w:sz="0" w:space="0" w:color="auto"/>
        <w:left w:val="none" w:sz="0" w:space="0" w:color="auto"/>
        <w:bottom w:val="none" w:sz="0" w:space="0" w:color="auto"/>
        <w:right w:val="none" w:sz="0" w:space="0" w:color="auto"/>
      </w:divBdr>
      <w:divsChild>
        <w:div w:id="1760297760">
          <w:marLeft w:val="0"/>
          <w:marRight w:val="0"/>
          <w:marTop w:val="0"/>
          <w:marBottom w:val="0"/>
          <w:divBdr>
            <w:top w:val="none" w:sz="0" w:space="0" w:color="auto"/>
            <w:left w:val="none" w:sz="0" w:space="0" w:color="auto"/>
            <w:bottom w:val="none" w:sz="0" w:space="0" w:color="auto"/>
            <w:right w:val="none" w:sz="0" w:space="0" w:color="auto"/>
          </w:divBdr>
          <w:divsChild>
            <w:div w:id="597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297">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208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9599">
      <w:bodyDiv w:val="1"/>
      <w:marLeft w:val="0"/>
      <w:marRight w:val="0"/>
      <w:marTop w:val="0"/>
      <w:marBottom w:val="0"/>
      <w:divBdr>
        <w:top w:val="none" w:sz="0" w:space="0" w:color="auto"/>
        <w:left w:val="none" w:sz="0" w:space="0" w:color="auto"/>
        <w:bottom w:val="none" w:sz="0" w:space="0" w:color="auto"/>
        <w:right w:val="none" w:sz="0" w:space="0" w:color="auto"/>
      </w:divBdr>
      <w:divsChild>
        <w:div w:id="41490790">
          <w:marLeft w:val="0"/>
          <w:marRight w:val="0"/>
          <w:marTop w:val="0"/>
          <w:marBottom w:val="0"/>
          <w:divBdr>
            <w:top w:val="none" w:sz="0" w:space="0" w:color="auto"/>
            <w:left w:val="none" w:sz="0" w:space="0" w:color="auto"/>
            <w:bottom w:val="none" w:sz="0" w:space="0" w:color="auto"/>
            <w:right w:val="none" w:sz="0" w:space="0" w:color="auto"/>
          </w:divBdr>
          <w:divsChild>
            <w:div w:id="3486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5269">
      <w:bodyDiv w:val="1"/>
      <w:marLeft w:val="0"/>
      <w:marRight w:val="0"/>
      <w:marTop w:val="0"/>
      <w:marBottom w:val="0"/>
      <w:divBdr>
        <w:top w:val="none" w:sz="0" w:space="0" w:color="auto"/>
        <w:left w:val="none" w:sz="0" w:space="0" w:color="auto"/>
        <w:bottom w:val="none" w:sz="0" w:space="0" w:color="auto"/>
        <w:right w:val="none" w:sz="0" w:space="0" w:color="auto"/>
      </w:divBdr>
      <w:divsChild>
        <w:div w:id="957219740">
          <w:marLeft w:val="0"/>
          <w:marRight w:val="0"/>
          <w:marTop w:val="0"/>
          <w:marBottom w:val="0"/>
          <w:divBdr>
            <w:top w:val="none" w:sz="0" w:space="0" w:color="auto"/>
            <w:left w:val="none" w:sz="0" w:space="0" w:color="auto"/>
            <w:bottom w:val="none" w:sz="0" w:space="0" w:color="auto"/>
            <w:right w:val="none" w:sz="0" w:space="0" w:color="auto"/>
          </w:divBdr>
          <w:divsChild>
            <w:div w:id="698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5655">
      <w:bodyDiv w:val="1"/>
      <w:marLeft w:val="0"/>
      <w:marRight w:val="0"/>
      <w:marTop w:val="0"/>
      <w:marBottom w:val="0"/>
      <w:divBdr>
        <w:top w:val="none" w:sz="0" w:space="0" w:color="auto"/>
        <w:left w:val="none" w:sz="0" w:space="0" w:color="auto"/>
        <w:bottom w:val="none" w:sz="0" w:space="0" w:color="auto"/>
        <w:right w:val="none" w:sz="0" w:space="0" w:color="auto"/>
      </w:divBdr>
    </w:div>
    <w:div w:id="1974746375">
      <w:bodyDiv w:val="1"/>
      <w:marLeft w:val="0"/>
      <w:marRight w:val="0"/>
      <w:marTop w:val="0"/>
      <w:marBottom w:val="0"/>
      <w:divBdr>
        <w:top w:val="none" w:sz="0" w:space="0" w:color="auto"/>
        <w:left w:val="none" w:sz="0" w:space="0" w:color="auto"/>
        <w:bottom w:val="none" w:sz="0" w:space="0" w:color="auto"/>
        <w:right w:val="none" w:sz="0" w:space="0" w:color="auto"/>
      </w:divBdr>
      <w:divsChild>
        <w:div w:id="1663503874">
          <w:marLeft w:val="0"/>
          <w:marRight w:val="0"/>
          <w:marTop w:val="0"/>
          <w:marBottom w:val="0"/>
          <w:divBdr>
            <w:top w:val="none" w:sz="0" w:space="0" w:color="auto"/>
            <w:left w:val="none" w:sz="0" w:space="0" w:color="auto"/>
            <w:bottom w:val="none" w:sz="0" w:space="0" w:color="auto"/>
            <w:right w:val="none" w:sz="0" w:space="0" w:color="auto"/>
          </w:divBdr>
          <w:divsChild>
            <w:div w:id="18604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358">
      <w:bodyDiv w:val="1"/>
      <w:marLeft w:val="0"/>
      <w:marRight w:val="0"/>
      <w:marTop w:val="0"/>
      <w:marBottom w:val="0"/>
      <w:divBdr>
        <w:top w:val="none" w:sz="0" w:space="0" w:color="auto"/>
        <w:left w:val="none" w:sz="0" w:space="0" w:color="auto"/>
        <w:bottom w:val="none" w:sz="0" w:space="0" w:color="auto"/>
        <w:right w:val="none" w:sz="0" w:space="0" w:color="auto"/>
      </w:divBdr>
    </w:div>
    <w:div w:id="2066096998">
      <w:bodyDiv w:val="1"/>
      <w:marLeft w:val="0"/>
      <w:marRight w:val="0"/>
      <w:marTop w:val="0"/>
      <w:marBottom w:val="0"/>
      <w:divBdr>
        <w:top w:val="none" w:sz="0" w:space="0" w:color="auto"/>
        <w:left w:val="none" w:sz="0" w:space="0" w:color="auto"/>
        <w:bottom w:val="none" w:sz="0" w:space="0" w:color="auto"/>
        <w:right w:val="none" w:sz="0" w:space="0" w:color="auto"/>
      </w:divBdr>
    </w:div>
    <w:div w:id="2069302719">
      <w:bodyDiv w:val="1"/>
      <w:marLeft w:val="0"/>
      <w:marRight w:val="0"/>
      <w:marTop w:val="0"/>
      <w:marBottom w:val="0"/>
      <w:divBdr>
        <w:top w:val="none" w:sz="0" w:space="0" w:color="auto"/>
        <w:left w:val="none" w:sz="0" w:space="0" w:color="auto"/>
        <w:bottom w:val="none" w:sz="0" w:space="0" w:color="auto"/>
        <w:right w:val="none" w:sz="0" w:space="0" w:color="auto"/>
      </w:divBdr>
      <w:divsChild>
        <w:div w:id="2029915000">
          <w:marLeft w:val="0"/>
          <w:marRight w:val="0"/>
          <w:marTop w:val="0"/>
          <w:marBottom w:val="0"/>
          <w:divBdr>
            <w:top w:val="none" w:sz="0" w:space="0" w:color="auto"/>
            <w:left w:val="none" w:sz="0" w:space="0" w:color="auto"/>
            <w:bottom w:val="none" w:sz="0" w:space="0" w:color="auto"/>
            <w:right w:val="none" w:sz="0" w:space="0" w:color="auto"/>
          </w:divBdr>
        </w:div>
      </w:divsChild>
    </w:div>
    <w:div w:id="2070028545">
      <w:bodyDiv w:val="1"/>
      <w:marLeft w:val="0"/>
      <w:marRight w:val="0"/>
      <w:marTop w:val="0"/>
      <w:marBottom w:val="0"/>
      <w:divBdr>
        <w:top w:val="none" w:sz="0" w:space="0" w:color="auto"/>
        <w:left w:val="none" w:sz="0" w:space="0" w:color="auto"/>
        <w:bottom w:val="none" w:sz="0" w:space="0" w:color="auto"/>
        <w:right w:val="none" w:sz="0" w:space="0" w:color="auto"/>
      </w:divBdr>
      <w:divsChild>
        <w:div w:id="1142044038">
          <w:marLeft w:val="0"/>
          <w:marRight w:val="0"/>
          <w:marTop w:val="0"/>
          <w:marBottom w:val="0"/>
          <w:divBdr>
            <w:top w:val="none" w:sz="0" w:space="0" w:color="auto"/>
            <w:left w:val="none" w:sz="0" w:space="0" w:color="auto"/>
            <w:bottom w:val="none" w:sz="0" w:space="0" w:color="auto"/>
            <w:right w:val="none" w:sz="0" w:space="0" w:color="auto"/>
          </w:divBdr>
          <w:divsChild>
            <w:div w:id="61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5108">
      <w:bodyDiv w:val="1"/>
      <w:marLeft w:val="0"/>
      <w:marRight w:val="0"/>
      <w:marTop w:val="0"/>
      <w:marBottom w:val="0"/>
      <w:divBdr>
        <w:top w:val="none" w:sz="0" w:space="0" w:color="auto"/>
        <w:left w:val="none" w:sz="0" w:space="0" w:color="auto"/>
        <w:bottom w:val="none" w:sz="0" w:space="0" w:color="auto"/>
        <w:right w:val="none" w:sz="0" w:space="0" w:color="auto"/>
      </w:divBdr>
    </w:div>
    <w:div w:id="2119641612">
      <w:bodyDiv w:val="1"/>
      <w:marLeft w:val="0"/>
      <w:marRight w:val="0"/>
      <w:marTop w:val="0"/>
      <w:marBottom w:val="0"/>
      <w:divBdr>
        <w:top w:val="none" w:sz="0" w:space="0" w:color="auto"/>
        <w:left w:val="none" w:sz="0" w:space="0" w:color="auto"/>
        <w:bottom w:val="none" w:sz="0" w:space="0" w:color="auto"/>
        <w:right w:val="none" w:sz="0" w:space="0" w:color="auto"/>
      </w:divBdr>
      <w:divsChild>
        <w:div w:id="610404546">
          <w:marLeft w:val="0"/>
          <w:marRight w:val="0"/>
          <w:marTop w:val="0"/>
          <w:marBottom w:val="0"/>
          <w:divBdr>
            <w:top w:val="none" w:sz="0" w:space="0" w:color="auto"/>
            <w:left w:val="none" w:sz="0" w:space="0" w:color="auto"/>
            <w:bottom w:val="none" w:sz="0" w:space="0" w:color="auto"/>
            <w:right w:val="none" w:sz="0" w:space="0" w:color="auto"/>
          </w:divBdr>
          <w:divsChild>
            <w:div w:id="15924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770">
      <w:bodyDiv w:val="1"/>
      <w:marLeft w:val="0"/>
      <w:marRight w:val="0"/>
      <w:marTop w:val="0"/>
      <w:marBottom w:val="0"/>
      <w:divBdr>
        <w:top w:val="none" w:sz="0" w:space="0" w:color="auto"/>
        <w:left w:val="none" w:sz="0" w:space="0" w:color="auto"/>
        <w:bottom w:val="none" w:sz="0" w:space="0" w:color="auto"/>
        <w:right w:val="none" w:sz="0" w:space="0" w:color="auto"/>
      </w:divBdr>
      <w:divsChild>
        <w:div w:id="1040207821">
          <w:marLeft w:val="0"/>
          <w:marRight w:val="0"/>
          <w:marTop w:val="0"/>
          <w:marBottom w:val="0"/>
          <w:divBdr>
            <w:top w:val="none" w:sz="0" w:space="0" w:color="auto"/>
            <w:left w:val="none" w:sz="0" w:space="0" w:color="auto"/>
            <w:bottom w:val="none" w:sz="0" w:space="0" w:color="auto"/>
            <w:right w:val="none" w:sz="0" w:space="0" w:color="auto"/>
          </w:divBdr>
          <w:divsChild>
            <w:div w:id="7410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208&amp;db=0004637&amp;tc=-1&amp;rp=%252ffind%252fdefault.wl&amp;findtype=y&amp;ordoc=0387946388&amp;serialnum=2013462558&amp;vr=2.0&amp;fn=_top&amp;sv=split&amp;tf=-1&amp;referencepositiontype=s&amp;pbc=a1f0b62d&amp;referenceposition=1345&amp;rs=wlw14.04" TargetMode="External"/><Relationship Id="rId13" Type="http://schemas.openxmlformats.org/officeDocument/2006/relationships/hyperlink" Target="http://web2.westlaw.com/find/default.wl?mt=208&amp;db=profiler-wld&amp;docname=0279778801&amp;rp=%252ffind%252fdefault.wl&amp;findtype=h&amp;ordoc=0110813149&amp;tc=-1&amp;vr=2.0&amp;fn=_top&amp;sv=split&amp;tf=-1&amp;pbc=bcdf4b4e&amp;rs=wlw14.04" TargetMode="External"/><Relationship Id="rId18" Type="http://schemas.openxmlformats.org/officeDocument/2006/relationships/hyperlink" Target="http://papers.ssrn.com/sol3/papers.cfm?abstract_id=625142" TargetMode="External"/><Relationship Id="rId3" Type="http://schemas.openxmlformats.org/officeDocument/2006/relationships/hyperlink" Target="http://www.whitehouse.senate.gov/news/release/whitehouse-and-graham-working-to-crack-down-on-economic-espionage" TargetMode="External"/><Relationship Id="rId21" Type="http://schemas.openxmlformats.org/officeDocument/2006/relationships/hyperlink" Target="http://web2.westlaw.com/find/default.wl?mt=208&amp;db=780&amp;tc=-1&amp;rp=%252ffind%252fdefault.wl&amp;findtype=y&amp;ordoc=0110813149&amp;serialnum=1991060551&amp;vr=2.0&amp;fn=_top&amp;sv=split&amp;tf=-1&amp;referencepositiontype=s&amp;pbc=bcdf4b4e&amp;referenceposition=347&amp;rs=wlw14.04" TargetMode="External"/><Relationship Id="rId7" Type="http://schemas.openxmlformats.org/officeDocument/2006/relationships/hyperlink" Target="http://web2.westlaw.com/find/default.wl?mt=208&amp;db=0004637&amp;tc=-1&amp;rp=%252ffind%252fdefault.wl&amp;findtype=y&amp;ordoc=0387946388&amp;serialnum=2006901237&amp;vr=2.0&amp;fn=_top&amp;sv=split&amp;tf=-1&amp;referencepositiontype=s&amp;pbc=a1f0b62d&amp;referenceposition=657&amp;rs=wlw14.04" TargetMode="External"/><Relationship Id="rId12" Type="http://schemas.openxmlformats.org/officeDocument/2006/relationships/hyperlink" Target="http://web2.westlaw.com/find/default.wl?mt=208&amp;db=0000999&amp;tc=-1&amp;rp=%252ffind%252fdefault.wl&amp;findtype=y&amp;ordoc=0387946388&amp;serialnum=2025350950&amp;vr=2.0&amp;fn=_top&amp;sv=split&amp;tf=-1&amp;pbc=a1f0b62d&amp;rs=wlw14.04" TargetMode="External"/><Relationship Id="rId17" Type="http://schemas.openxmlformats.org/officeDocument/2006/relationships/hyperlink" Target="http://cyber.law.harvard.edu/people/tfisher/iphistory.pdf" TargetMode="External"/><Relationship Id="rId2" Type="http://schemas.openxmlformats.org/officeDocument/2006/relationships/hyperlink" Target="https://www.govtrack.us/congress/bills/113/s2378" TargetMode="External"/><Relationship Id="rId16" Type="http://schemas.openxmlformats.org/officeDocument/2006/relationships/hyperlink" Target="https://a.next.westlaw.com/Link/Document/FullText?findType=Y&amp;serNum=0342356256&amp;pubNum=0111090&amp;originationContext=document&amp;transitionType=DocumentItem&amp;contextData=(sc.Search)" TargetMode="External"/><Relationship Id="rId20" Type="http://schemas.openxmlformats.org/officeDocument/2006/relationships/hyperlink" Target="http://web2.westlaw.com/find/default.wl?mt=208&amp;db=1000546&amp;docname=uscoartis8cl8&amp;rp=%252ffind%252fdefault.wl&amp;findtype=l&amp;ordoc=0110813149&amp;tc=-1&amp;vr=2.0&amp;fn=_top&amp;sv=split&amp;tf=-1&amp;pbc=bcdf4b4e&amp;rs=wlw14.04" TargetMode="External"/><Relationship Id="rId1" Type="http://schemas.openxmlformats.org/officeDocument/2006/relationships/hyperlink" Target="http://www.forbes.com/sites/joshbersin/" TargetMode="External"/><Relationship Id="rId6" Type="http://schemas.openxmlformats.org/officeDocument/2006/relationships/hyperlink" Target="http://www.tradesecretslaw.com/2013/01/articles/espionage/president-obama-signs-economic-espionage-act-amendments-that-will-significantly-enhance-the-penalities-for-trade-secret-theft/" TargetMode="External"/><Relationship Id="rId11" Type="http://schemas.openxmlformats.org/officeDocument/2006/relationships/hyperlink" Target="http://web2.westlaw.com/find/default.wl?mt=208&amp;db=0000506&amp;tc=-1&amp;rp=%252ffind%252fdefault.wl&amp;findtype=y&amp;ordoc=0387946388&amp;serialnum=2007590157&amp;vr=2.0&amp;fn=_top&amp;sv=split&amp;tf=-1&amp;referencepositiontype=s&amp;pbc=a1f0b62d&amp;referenceposition=404&amp;rs=wlw14.04" TargetMode="External"/><Relationship Id="rId24" Type="http://schemas.openxmlformats.org/officeDocument/2006/relationships/hyperlink" Target="http://scholar.google.com/scholar_case?case=13490645214336198636" TargetMode="External"/><Relationship Id="rId5" Type="http://schemas.openxmlformats.org/officeDocument/2006/relationships/hyperlink" Target="http://en.wikipedia.org/wiki/Legal_citation" TargetMode="External"/><Relationship Id="rId15" Type="http://schemas.openxmlformats.org/officeDocument/2006/relationships/hyperlink" Target="http://web2.westlaw.com/find/default.wl?mt=208&amp;db=0000162&amp;tc=-1&amp;rp=%252ffind%252fdefault.wl&amp;findtype=y&amp;ordoc=0387946388&amp;serialnum=1990137777&amp;vr=2.0&amp;fn=_top&amp;sv=split&amp;tf=-1&amp;referencepositiontype=s&amp;pbc=a1f0b62d&amp;referenceposition=1390&amp;rs=wlw14.04" TargetMode="External"/><Relationship Id="rId23" Type="http://schemas.openxmlformats.org/officeDocument/2006/relationships/hyperlink" Target="http://web2.westlaw.com/find/default.wl?mt=208&amp;db=780&amp;tc=-1&amp;rp=%252ffind%252fdefault.wl&amp;findtype=y&amp;ordoc=0110813149&amp;serialnum=1974127179&amp;vr=2.0&amp;fn=_top&amp;sv=split&amp;tf=-1&amp;referencepositiontype=s&amp;pbc=bcdf4b4e&amp;referenceposition=485&amp;rs=wlw14.04" TargetMode="External"/><Relationship Id="rId10" Type="http://schemas.openxmlformats.org/officeDocument/2006/relationships/hyperlink" Target="http://web2.westlaw.com/find/default.wl?mt=208&amp;db=0006538&amp;tc=-1&amp;rp=%2ffind%2fdefault.wl&amp;findtype=Y&amp;ordoc=0302956409&amp;serialnum=2027248445&amp;vr=2.0&amp;fn=_top&amp;sv=Split&amp;tf=-1&amp;pbc=20D22BC4&amp;rs=WLW14.04" TargetMode="External"/><Relationship Id="rId19" Type="http://schemas.openxmlformats.org/officeDocument/2006/relationships/hyperlink" Target="http://web2.westlaw.com/find/default.wl?mt=208&amp;db=0000780&amp;tc=-1&amp;rp=%252ffind%252fdefault.wl&amp;findtype=y&amp;ordoc=0387946388&amp;serialnum=1974127179&amp;vr=2.0&amp;fn=_top&amp;sv=split&amp;tf=-1&amp;referencepositiontype=s&amp;pbc=a1f0b62d&amp;referenceposition=484&amp;rs=wlw14.04" TargetMode="External"/><Relationship Id="rId4" Type="http://schemas.openxmlformats.org/officeDocument/2006/relationships/hyperlink" Target="http://en.wikisource.org/wiki/White_v._Samsung_Electronics_America,_Inc./En_banc_Opinion" TargetMode="External"/><Relationship Id="rId9" Type="http://schemas.openxmlformats.org/officeDocument/2006/relationships/hyperlink" Target="http://web2.westlaw.com/find/default.wl?mt=208&amp;db=0004637&amp;tc=-1&amp;rp=%2ffind%2fdefault.wl&amp;findtype=Y&amp;ordoc=0302956409&amp;serialnum=2025834043&amp;vr=2.0&amp;fn=_top&amp;sv=Split&amp;tf=-1&amp;referencepositiontype=S&amp;pbc=20D22BC4&amp;referenceposition=1046&amp;rs=WLW14.04" TargetMode="External"/><Relationship Id="rId14" Type="http://schemas.openxmlformats.org/officeDocument/2006/relationships/hyperlink" Target="http://faircompetitionlaw.files.wordpress.com/2014/01/trade-secret-cases-survey-graph-20140105.jpg" TargetMode="External"/><Relationship Id="rId22" Type="http://schemas.openxmlformats.org/officeDocument/2006/relationships/hyperlink" Target="http://web2.westlaw.com/find/default.wl?mt=208&amp;db=780&amp;tc=-1&amp;rp=%252ffind%252fdefault.wl&amp;findtype=y&amp;ordoc=0110813149&amp;serialnum=1989026580&amp;vr=2.0&amp;fn=_top&amp;sv=split&amp;tf=-1&amp;referencepositiontype=s&amp;pbc=bcdf4b4e&amp;referenceposition=161&amp;rs=wlw14.0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22860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59B0-5533-4F3C-9FB2-124DF5CE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18653</Words>
  <Characters>106325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University of San Diego School of Law</Company>
  <LinksUpToDate>false</LinksUpToDate>
  <CharactersWithSpaces>124729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1741 1741</dc:creator>
  <cp:lastModifiedBy>Orly</cp:lastModifiedBy>
  <cp:revision>3</cp:revision>
  <cp:lastPrinted>2014-10-15T16:19:00Z</cp:lastPrinted>
  <dcterms:created xsi:type="dcterms:W3CDTF">2018-06-08T15:29:00Z</dcterms:created>
  <dcterms:modified xsi:type="dcterms:W3CDTF">2018-06-08T15:29:00Z</dcterms:modified>
</cp:coreProperties>
</file>